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theme/themeOverride1.xml" ContentType="application/vnd.openxmlformats-officedocument.themeOverride+xml"/>
  <Override PartName="/word/charts/chart4.xml" ContentType="application/vnd.openxmlformats-officedocument.drawingml.chart+xml"/>
  <Override PartName="/word/theme/themeOverride2.xml" ContentType="application/vnd.openxmlformats-officedocument.themeOverride+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2DD7" w:rsidRDefault="00AB7A47" w:rsidP="00F12DD7">
      <w:pPr>
        <w:pStyle w:val="BodyText"/>
      </w:pPr>
      <w:bookmarkStart w:id="0" w:name="Undo_Change_font_11x31z02"/>
      <w:bookmarkEnd w:id="0"/>
      <w:r>
        <w:rPr>
          <w:noProof/>
          <w:lang w:eastAsia="en-GB"/>
        </w:rPr>
        <w:drawing>
          <wp:anchor distT="0" distB="0" distL="114300" distR="114300" simplePos="0" relativeHeight="251686912" behindDoc="1" locked="0" layoutInCell="1" allowOverlap="1" wp14:anchorId="2B8E27A8" wp14:editId="70267FE3">
            <wp:simplePos x="0" y="0"/>
            <wp:positionH relativeFrom="page">
              <wp:posOffset>0</wp:posOffset>
            </wp:positionH>
            <wp:positionV relativeFrom="page">
              <wp:posOffset>-2486025</wp:posOffset>
            </wp:positionV>
            <wp:extent cx="7560310" cy="6582162"/>
            <wp:effectExtent l="0" t="0" r="2540" b="9525"/>
            <wp:wrapNone/>
            <wp:docPr id="6" name="Cove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28A0092B-C50C-407E-A947-70E740481C1C}">
                          <a14:useLocalDpi xmlns:a14="http://schemas.microsoft.com/office/drawing/2010/main" val="0"/>
                        </a:ext>
                      </a:extLst>
                    </a:blip>
                    <a:stretch>
                      <a:fillRect/>
                    </a:stretch>
                  </pic:blipFill>
                  <pic:spPr>
                    <a:xfrm>
                      <a:off x="0" y="0"/>
                      <a:ext cx="7560310" cy="6582162"/>
                    </a:xfrm>
                    <a:prstGeom prst="rect">
                      <a:avLst/>
                    </a:prstGeom>
                  </pic:spPr>
                </pic:pic>
              </a:graphicData>
            </a:graphic>
            <wp14:sizeRelH relativeFrom="margin">
              <wp14:pctWidth>0</wp14:pctWidth>
            </wp14:sizeRelH>
            <wp14:sizeRelV relativeFrom="margin">
              <wp14:pctHeight>0</wp14:pctHeight>
            </wp14:sizeRelV>
          </wp:anchor>
        </w:drawing>
      </w:r>
      <w:r w:rsidR="005A1F44" w:rsidRPr="00A87365">
        <w:rPr>
          <w:noProof/>
          <w:lang w:eastAsia="en-GB"/>
        </w:rPr>
        <mc:AlternateContent>
          <mc:Choice Requires="wps">
            <w:drawing>
              <wp:anchor distT="0" distB="0" distL="114300" distR="114300" simplePos="0" relativeHeight="251688960" behindDoc="1" locked="0" layoutInCell="0" allowOverlap="1" wp14:anchorId="1C05EA6A" wp14:editId="29FEA5FF">
                <wp:simplePos x="0" y="0"/>
                <wp:positionH relativeFrom="page">
                  <wp:align>left</wp:align>
                </wp:positionH>
                <wp:positionV relativeFrom="page">
                  <wp:align>bottom</wp:align>
                </wp:positionV>
                <wp:extent cx="7560310" cy="9088310"/>
                <wp:effectExtent l="0" t="0" r="2540" b="0"/>
                <wp:wrapNone/>
                <wp:docPr id="8" name="CoverLowerHalfBlue"/>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10" cy="9088310"/>
                        </a:xfrm>
                        <a:custGeom>
                          <a:avLst/>
                          <a:gdLst>
                            <a:gd name="connsiteX0" fmla="*/ 4571406 w 7560000"/>
                            <a:gd name="connsiteY0" fmla="*/ 0 h 7092000"/>
                            <a:gd name="connsiteX1" fmla="*/ 7560000 w 7560000"/>
                            <a:gd name="connsiteY1" fmla="*/ 0 h 7092000"/>
                            <a:gd name="connsiteX2" fmla="*/ 7560000 w 7560000"/>
                            <a:gd name="connsiteY2" fmla="*/ 7092000 h 7092000"/>
                            <a:gd name="connsiteX3" fmla="*/ 4571923 w 7560000"/>
                            <a:gd name="connsiteY3" fmla="*/ 7092000 h 7092000"/>
                            <a:gd name="connsiteX4" fmla="*/ 4654753 w 7560000"/>
                            <a:gd name="connsiteY4" fmla="*/ 7088200 h 7092000"/>
                            <a:gd name="connsiteX5" fmla="*/ 5179738 w 7560000"/>
                            <a:gd name="connsiteY5" fmla="*/ 6637985 h 7092000"/>
                            <a:gd name="connsiteX6" fmla="*/ 7001861 w 7560000"/>
                            <a:gd name="connsiteY6" fmla="*/ 3501586 h 7092000"/>
                            <a:gd name="connsiteX7" fmla="*/ 7023108 w 7560000"/>
                            <a:gd name="connsiteY7" fmla="*/ 2930229 h 7092000"/>
                            <a:gd name="connsiteX8" fmla="*/ 5162578 w 7560000"/>
                            <a:gd name="connsiteY8" fmla="*/ 381384 h 7092000"/>
                            <a:gd name="connsiteX9" fmla="*/ 4654234 w 7560000"/>
                            <a:gd name="connsiteY9" fmla="*/ 3140 h 7092000"/>
                            <a:gd name="connsiteX10" fmla="*/ 0 w 7560000"/>
                            <a:gd name="connsiteY10" fmla="*/ 0 h 7092000"/>
                            <a:gd name="connsiteX11" fmla="*/ 975511 w 7560000"/>
                            <a:gd name="connsiteY11" fmla="*/ 0 h 7092000"/>
                            <a:gd name="connsiteX12" fmla="*/ 884357 w 7560000"/>
                            <a:gd name="connsiteY12" fmla="*/ 5209 h 7092000"/>
                            <a:gd name="connsiteX13" fmla="*/ 527812 w 7560000"/>
                            <a:gd name="connsiteY13" fmla="*/ 742134 h 7092000"/>
                            <a:gd name="connsiteX14" fmla="*/ 2340157 w 7560000"/>
                            <a:gd name="connsiteY14" fmla="*/ 3224908 h 7092000"/>
                            <a:gd name="connsiteX15" fmla="*/ 542413 w 7560000"/>
                            <a:gd name="connsiteY15" fmla="*/ 6318621 h 7092000"/>
                            <a:gd name="connsiteX16" fmla="*/ 884876 w 7560000"/>
                            <a:gd name="connsiteY16" fmla="*/ 7085695 h 7092000"/>
                            <a:gd name="connsiteX17" fmla="*/ 976028 w 7560000"/>
                            <a:gd name="connsiteY17" fmla="*/ 7092000 h 7092000"/>
                            <a:gd name="connsiteX18" fmla="*/ 0 w 7560000"/>
                            <a:gd name="connsiteY18" fmla="*/ 7092000 h 7092000"/>
                            <a:gd name="connsiteX0" fmla="*/ 4571406 w 7560000"/>
                            <a:gd name="connsiteY0" fmla="*/ 0 h 7092000"/>
                            <a:gd name="connsiteX1" fmla="*/ 7560000 w 7560000"/>
                            <a:gd name="connsiteY1" fmla="*/ 0 h 7092000"/>
                            <a:gd name="connsiteX2" fmla="*/ 7560000 w 7560000"/>
                            <a:gd name="connsiteY2" fmla="*/ 7092000 h 7092000"/>
                            <a:gd name="connsiteX3" fmla="*/ 4571923 w 7560000"/>
                            <a:gd name="connsiteY3" fmla="*/ 7092000 h 7092000"/>
                            <a:gd name="connsiteX4" fmla="*/ 4654753 w 7560000"/>
                            <a:gd name="connsiteY4" fmla="*/ 7088200 h 7092000"/>
                            <a:gd name="connsiteX5" fmla="*/ 5179738 w 7560000"/>
                            <a:gd name="connsiteY5" fmla="*/ 6637985 h 7092000"/>
                            <a:gd name="connsiteX6" fmla="*/ 6126743 w 7560000"/>
                            <a:gd name="connsiteY6" fmla="*/ 3436775 h 7092000"/>
                            <a:gd name="connsiteX7" fmla="*/ 7023108 w 7560000"/>
                            <a:gd name="connsiteY7" fmla="*/ 2930229 h 7092000"/>
                            <a:gd name="connsiteX8" fmla="*/ 5162578 w 7560000"/>
                            <a:gd name="connsiteY8" fmla="*/ 381384 h 7092000"/>
                            <a:gd name="connsiteX9" fmla="*/ 4654234 w 7560000"/>
                            <a:gd name="connsiteY9" fmla="*/ 3140 h 7092000"/>
                            <a:gd name="connsiteX10" fmla="*/ 4571406 w 7560000"/>
                            <a:gd name="connsiteY10" fmla="*/ 0 h 7092000"/>
                            <a:gd name="connsiteX11" fmla="*/ 0 w 7560000"/>
                            <a:gd name="connsiteY11" fmla="*/ 0 h 7092000"/>
                            <a:gd name="connsiteX12" fmla="*/ 975511 w 7560000"/>
                            <a:gd name="connsiteY12" fmla="*/ 0 h 7092000"/>
                            <a:gd name="connsiteX13" fmla="*/ 884357 w 7560000"/>
                            <a:gd name="connsiteY13" fmla="*/ 5209 h 7092000"/>
                            <a:gd name="connsiteX14" fmla="*/ 527812 w 7560000"/>
                            <a:gd name="connsiteY14" fmla="*/ 742134 h 7092000"/>
                            <a:gd name="connsiteX15" fmla="*/ 2340157 w 7560000"/>
                            <a:gd name="connsiteY15" fmla="*/ 3224908 h 7092000"/>
                            <a:gd name="connsiteX16" fmla="*/ 542413 w 7560000"/>
                            <a:gd name="connsiteY16" fmla="*/ 6318621 h 7092000"/>
                            <a:gd name="connsiteX17" fmla="*/ 884876 w 7560000"/>
                            <a:gd name="connsiteY17" fmla="*/ 7085695 h 7092000"/>
                            <a:gd name="connsiteX18" fmla="*/ 976028 w 7560000"/>
                            <a:gd name="connsiteY18" fmla="*/ 7092000 h 7092000"/>
                            <a:gd name="connsiteX19" fmla="*/ 0 w 7560000"/>
                            <a:gd name="connsiteY19" fmla="*/ 7092000 h 7092000"/>
                            <a:gd name="connsiteX20" fmla="*/ 0 w 7560000"/>
                            <a:gd name="connsiteY20" fmla="*/ 0 h 7092000"/>
                            <a:gd name="connsiteX0" fmla="*/ 4571406 w 7560000"/>
                            <a:gd name="connsiteY0" fmla="*/ 0 h 7092000"/>
                            <a:gd name="connsiteX1" fmla="*/ 7560000 w 7560000"/>
                            <a:gd name="connsiteY1" fmla="*/ 0 h 7092000"/>
                            <a:gd name="connsiteX2" fmla="*/ 7560000 w 7560000"/>
                            <a:gd name="connsiteY2" fmla="*/ 7092000 h 7092000"/>
                            <a:gd name="connsiteX3" fmla="*/ 4571923 w 7560000"/>
                            <a:gd name="connsiteY3" fmla="*/ 7092000 h 7092000"/>
                            <a:gd name="connsiteX4" fmla="*/ 4654753 w 7560000"/>
                            <a:gd name="connsiteY4" fmla="*/ 7088200 h 7092000"/>
                            <a:gd name="connsiteX5" fmla="*/ 5179738 w 7560000"/>
                            <a:gd name="connsiteY5" fmla="*/ 6637985 h 7092000"/>
                            <a:gd name="connsiteX6" fmla="*/ 6126743 w 7560000"/>
                            <a:gd name="connsiteY6" fmla="*/ 3436775 h 7092000"/>
                            <a:gd name="connsiteX7" fmla="*/ 5318989 w 7560000"/>
                            <a:gd name="connsiteY7" fmla="*/ 2110835 h 7092000"/>
                            <a:gd name="connsiteX8" fmla="*/ 5162578 w 7560000"/>
                            <a:gd name="connsiteY8" fmla="*/ 381384 h 7092000"/>
                            <a:gd name="connsiteX9" fmla="*/ 4654234 w 7560000"/>
                            <a:gd name="connsiteY9" fmla="*/ 3140 h 7092000"/>
                            <a:gd name="connsiteX10" fmla="*/ 4571406 w 7560000"/>
                            <a:gd name="connsiteY10" fmla="*/ 0 h 7092000"/>
                            <a:gd name="connsiteX11" fmla="*/ 0 w 7560000"/>
                            <a:gd name="connsiteY11" fmla="*/ 0 h 7092000"/>
                            <a:gd name="connsiteX12" fmla="*/ 975511 w 7560000"/>
                            <a:gd name="connsiteY12" fmla="*/ 0 h 7092000"/>
                            <a:gd name="connsiteX13" fmla="*/ 884357 w 7560000"/>
                            <a:gd name="connsiteY13" fmla="*/ 5209 h 7092000"/>
                            <a:gd name="connsiteX14" fmla="*/ 527812 w 7560000"/>
                            <a:gd name="connsiteY14" fmla="*/ 742134 h 7092000"/>
                            <a:gd name="connsiteX15" fmla="*/ 2340157 w 7560000"/>
                            <a:gd name="connsiteY15" fmla="*/ 3224908 h 7092000"/>
                            <a:gd name="connsiteX16" fmla="*/ 542413 w 7560000"/>
                            <a:gd name="connsiteY16" fmla="*/ 6318621 h 7092000"/>
                            <a:gd name="connsiteX17" fmla="*/ 884876 w 7560000"/>
                            <a:gd name="connsiteY17" fmla="*/ 7085695 h 7092000"/>
                            <a:gd name="connsiteX18" fmla="*/ 976028 w 7560000"/>
                            <a:gd name="connsiteY18" fmla="*/ 7092000 h 7092000"/>
                            <a:gd name="connsiteX19" fmla="*/ 0 w 7560000"/>
                            <a:gd name="connsiteY19" fmla="*/ 7092000 h 7092000"/>
                            <a:gd name="connsiteX20" fmla="*/ 0 w 7560000"/>
                            <a:gd name="connsiteY20" fmla="*/ 0 h 7092000"/>
                            <a:gd name="connsiteX0" fmla="*/ 4571406 w 7560000"/>
                            <a:gd name="connsiteY0" fmla="*/ 0 h 7092000"/>
                            <a:gd name="connsiteX1" fmla="*/ 7560000 w 7560000"/>
                            <a:gd name="connsiteY1" fmla="*/ 0 h 7092000"/>
                            <a:gd name="connsiteX2" fmla="*/ 7560000 w 7560000"/>
                            <a:gd name="connsiteY2" fmla="*/ 7092000 h 7092000"/>
                            <a:gd name="connsiteX3" fmla="*/ 4571923 w 7560000"/>
                            <a:gd name="connsiteY3" fmla="*/ 7092000 h 7092000"/>
                            <a:gd name="connsiteX4" fmla="*/ 4654753 w 7560000"/>
                            <a:gd name="connsiteY4" fmla="*/ 7088200 h 7092000"/>
                            <a:gd name="connsiteX5" fmla="*/ 5179738 w 7560000"/>
                            <a:gd name="connsiteY5" fmla="*/ 6637985 h 7092000"/>
                            <a:gd name="connsiteX6" fmla="*/ 6126743 w 7560000"/>
                            <a:gd name="connsiteY6" fmla="*/ 3436775 h 7092000"/>
                            <a:gd name="connsiteX7" fmla="*/ 5318989 w 7560000"/>
                            <a:gd name="connsiteY7" fmla="*/ 2110835 h 7092000"/>
                            <a:gd name="connsiteX8" fmla="*/ 5162578 w 7560000"/>
                            <a:gd name="connsiteY8" fmla="*/ 381384 h 7092000"/>
                            <a:gd name="connsiteX9" fmla="*/ 4654234 w 7560000"/>
                            <a:gd name="connsiteY9" fmla="*/ 3140 h 7092000"/>
                            <a:gd name="connsiteX10" fmla="*/ 4571406 w 7560000"/>
                            <a:gd name="connsiteY10" fmla="*/ 0 h 7092000"/>
                            <a:gd name="connsiteX11" fmla="*/ 0 w 7560000"/>
                            <a:gd name="connsiteY11" fmla="*/ 0 h 7092000"/>
                            <a:gd name="connsiteX12" fmla="*/ 975511 w 7560000"/>
                            <a:gd name="connsiteY12" fmla="*/ 0 h 7092000"/>
                            <a:gd name="connsiteX13" fmla="*/ 884357 w 7560000"/>
                            <a:gd name="connsiteY13" fmla="*/ 5209 h 7092000"/>
                            <a:gd name="connsiteX14" fmla="*/ 527812 w 7560000"/>
                            <a:gd name="connsiteY14" fmla="*/ 742134 h 7092000"/>
                            <a:gd name="connsiteX15" fmla="*/ 3958760 w 7560000"/>
                            <a:gd name="connsiteY15" fmla="*/ 1634564 h 7092000"/>
                            <a:gd name="connsiteX16" fmla="*/ 542413 w 7560000"/>
                            <a:gd name="connsiteY16" fmla="*/ 6318621 h 7092000"/>
                            <a:gd name="connsiteX17" fmla="*/ 884876 w 7560000"/>
                            <a:gd name="connsiteY17" fmla="*/ 7085695 h 7092000"/>
                            <a:gd name="connsiteX18" fmla="*/ 976028 w 7560000"/>
                            <a:gd name="connsiteY18" fmla="*/ 7092000 h 7092000"/>
                            <a:gd name="connsiteX19" fmla="*/ 0 w 7560000"/>
                            <a:gd name="connsiteY19" fmla="*/ 7092000 h 7092000"/>
                            <a:gd name="connsiteX20" fmla="*/ 0 w 7560000"/>
                            <a:gd name="connsiteY20" fmla="*/ 0 h 7092000"/>
                            <a:gd name="connsiteX0" fmla="*/ 4571406 w 7560000"/>
                            <a:gd name="connsiteY0" fmla="*/ 0 h 7092000"/>
                            <a:gd name="connsiteX1" fmla="*/ 7560000 w 7560000"/>
                            <a:gd name="connsiteY1" fmla="*/ 0 h 7092000"/>
                            <a:gd name="connsiteX2" fmla="*/ 7560000 w 7560000"/>
                            <a:gd name="connsiteY2" fmla="*/ 7092000 h 7092000"/>
                            <a:gd name="connsiteX3" fmla="*/ 4571923 w 7560000"/>
                            <a:gd name="connsiteY3" fmla="*/ 7092000 h 7092000"/>
                            <a:gd name="connsiteX4" fmla="*/ 4654753 w 7560000"/>
                            <a:gd name="connsiteY4" fmla="*/ 7088200 h 7092000"/>
                            <a:gd name="connsiteX5" fmla="*/ 5179738 w 7560000"/>
                            <a:gd name="connsiteY5" fmla="*/ 6637985 h 7092000"/>
                            <a:gd name="connsiteX6" fmla="*/ 4221661 w 7560000"/>
                            <a:gd name="connsiteY6" fmla="*/ 2388978 h 7092000"/>
                            <a:gd name="connsiteX7" fmla="*/ 5318989 w 7560000"/>
                            <a:gd name="connsiteY7" fmla="*/ 2110835 h 7092000"/>
                            <a:gd name="connsiteX8" fmla="*/ 5162578 w 7560000"/>
                            <a:gd name="connsiteY8" fmla="*/ 381384 h 7092000"/>
                            <a:gd name="connsiteX9" fmla="*/ 4654234 w 7560000"/>
                            <a:gd name="connsiteY9" fmla="*/ 3140 h 7092000"/>
                            <a:gd name="connsiteX10" fmla="*/ 4571406 w 7560000"/>
                            <a:gd name="connsiteY10" fmla="*/ 0 h 7092000"/>
                            <a:gd name="connsiteX11" fmla="*/ 0 w 7560000"/>
                            <a:gd name="connsiteY11" fmla="*/ 0 h 7092000"/>
                            <a:gd name="connsiteX12" fmla="*/ 975511 w 7560000"/>
                            <a:gd name="connsiteY12" fmla="*/ 0 h 7092000"/>
                            <a:gd name="connsiteX13" fmla="*/ 884357 w 7560000"/>
                            <a:gd name="connsiteY13" fmla="*/ 5209 h 7092000"/>
                            <a:gd name="connsiteX14" fmla="*/ 527812 w 7560000"/>
                            <a:gd name="connsiteY14" fmla="*/ 742134 h 7092000"/>
                            <a:gd name="connsiteX15" fmla="*/ 3958760 w 7560000"/>
                            <a:gd name="connsiteY15" fmla="*/ 1634564 h 7092000"/>
                            <a:gd name="connsiteX16" fmla="*/ 542413 w 7560000"/>
                            <a:gd name="connsiteY16" fmla="*/ 6318621 h 7092000"/>
                            <a:gd name="connsiteX17" fmla="*/ 884876 w 7560000"/>
                            <a:gd name="connsiteY17" fmla="*/ 7085695 h 7092000"/>
                            <a:gd name="connsiteX18" fmla="*/ 976028 w 7560000"/>
                            <a:gd name="connsiteY18" fmla="*/ 7092000 h 7092000"/>
                            <a:gd name="connsiteX19" fmla="*/ 0 w 7560000"/>
                            <a:gd name="connsiteY19" fmla="*/ 7092000 h 7092000"/>
                            <a:gd name="connsiteX20" fmla="*/ 0 w 7560000"/>
                            <a:gd name="connsiteY20" fmla="*/ 0 h 7092000"/>
                            <a:gd name="connsiteX0" fmla="*/ 4571406 w 7560000"/>
                            <a:gd name="connsiteY0" fmla="*/ 0 h 7092000"/>
                            <a:gd name="connsiteX1" fmla="*/ 7560000 w 7560000"/>
                            <a:gd name="connsiteY1" fmla="*/ 0 h 7092000"/>
                            <a:gd name="connsiteX2" fmla="*/ 7560000 w 7560000"/>
                            <a:gd name="connsiteY2" fmla="*/ 7092000 h 7092000"/>
                            <a:gd name="connsiteX3" fmla="*/ 4571923 w 7560000"/>
                            <a:gd name="connsiteY3" fmla="*/ 7092000 h 7092000"/>
                            <a:gd name="connsiteX4" fmla="*/ 4654753 w 7560000"/>
                            <a:gd name="connsiteY4" fmla="*/ 7088200 h 7092000"/>
                            <a:gd name="connsiteX5" fmla="*/ 2865243 w 7560000"/>
                            <a:gd name="connsiteY5" fmla="*/ 4179759 h 7092000"/>
                            <a:gd name="connsiteX6" fmla="*/ 4221661 w 7560000"/>
                            <a:gd name="connsiteY6" fmla="*/ 2388978 h 7092000"/>
                            <a:gd name="connsiteX7" fmla="*/ 5318989 w 7560000"/>
                            <a:gd name="connsiteY7" fmla="*/ 2110835 h 7092000"/>
                            <a:gd name="connsiteX8" fmla="*/ 5162578 w 7560000"/>
                            <a:gd name="connsiteY8" fmla="*/ 381384 h 7092000"/>
                            <a:gd name="connsiteX9" fmla="*/ 4654234 w 7560000"/>
                            <a:gd name="connsiteY9" fmla="*/ 3140 h 7092000"/>
                            <a:gd name="connsiteX10" fmla="*/ 4571406 w 7560000"/>
                            <a:gd name="connsiteY10" fmla="*/ 0 h 7092000"/>
                            <a:gd name="connsiteX11" fmla="*/ 0 w 7560000"/>
                            <a:gd name="connsiteY11" fmla="*/ 0 h 7092000"/>
                            <a:gd name="connsiteX12" fmla="*/ 975511 w 7560000"/>
                            <a:gd name="connsiteY12" fmla="*/ 0 h 7092000"/>
                            <a:gd name="connsiteX13" fmla="*/ 884357 w 7560000"/>
                            <a:gd name="connsiteY13" fmla="*/ 5209 h 7092000"/>
                            <a:gd name="connsiteX14" fmla="*/ 527812 w 7560000"/>
                            <a:gd name="connsiteY14" fmla="*/ 742134 h 7092000"/>
                            <a:gd name="connsiteX15" fmla="*/ 3958760 w 7560000"/>
                            <a:gd name="connsiteY15" fmla="*/ 1634564 h 7092000"/>
                            <a:gd name="connsiteX16" fmla="*/ 542413 w 7560000"/>
                            <a:gd name="connsiteY16" fmla="*/ 6318621 h 7092000"/>
                            <a:gd name="connsiteX17" fmla="*/ 884876 w 7560000"/>
                            <a:gd name="connsiteY17" fmla="*/ 7085695 h 7092000"/>
                            <a:gd name="connsiteX18" fmla="*/ 976028 w 7560000"/>
                            <a:gd name="connsiteY18" fmla="*/ 7092000 h 7092000"/>
                            <a:gd name="connsiteX19" fmla="*/ 0 w 7560000"/>
                            <a:gd name="connsiteY19" fmla="*/ 7092000 h 7092000"/>
                            <a:gd name="connsiteX20" fmla="*/ 0 w 7560000"/>
                            <a:gd name="connsiteY20" fmla="*/ 0 h 7092000"/>
                            <a:gd name="connsiteX0" fmla="*/ 4571406 w 7560000"/>
                            <a:gd name="connsiteY0" fmla="*/ 0 h 7092000"/>
                            <a:gd name="connsiteX1" fmla="*/ 7560000 w 7560000"/>
                            <a:gd name="connsiteY1" fmla="*/ 0 h 7092000"/>
                            <a:gd name="connsiteX2" fmla="*/ 7560000 w 7560000"/>
                            <a:gd name="connsiteY2" fmla="*/ 7092000 h 7092000"/>
                            <a:gd name="connsiteX3" fmla="*/ 4571923 w 7560000"/>
                            <a:gd name="connsiteY3" fmla="*/ 7092000 h 7092000"/>
                            <a:gd name="connsiteX4" fmla="*/ 2198465 w 7560000"/>
                            <a:gd name="connsiteY4" fmla="*/ 5002756 h 7092000"/>
                            <a:gd name="connsiteX5" fmla="*/ 2865243 w 7560000"/>
                            <a:gd name="connsiteY5" fmla="*/ 4179759 h 7092000"/>
                            <a:gd name="connsiteX6" fmla="*/ 4221661 w 7560000"/>
                            <a:gd name="connsiteY6" fmla="*/ 2388978 h 7092000"/>
                            <a:gd name="connsiteX7" fmla="*/ 5318989 w 7560000"/>
                            <a:gd name="connsiteY7" fmla="*/ 2110835 h 7092000"/>
                            <a:gd name="connsiteX8" fmla="*/ 5162578 w 7560000"/>
                            <a:gd name="connsiteY8" fmla="*/ 381384 h 7092000"/>
                            <a:gd name="connsiteX9" fmla="*/ 4654234 w 7560000"/>
                            <a:gd name="connsiteY9" fmla="*/ 3140 h 7092000"/>
                            <a:gd name="connsiteX10" fmla="*/ 4571406 w 7560000"/>
                            <a:gd name="connsiteY10" fmla="*/ 0 h 7092000"/>
                            <a:gd name="connsiteX11" fmla="*/ 0 w 7560000"/>
                            <a:gd name="connsiteY11" fmla="*/ 0 h 7092000"/>
                            <a:gd name="connsiteX12" fmla="*/ 975511 w 7560000"/>
                            <a:gd name="connsiteY12" fmla="*/ 0 h 7092000"/>
                            <a:gd name="connsiteX13" fmla="*/ 884357 w 7560000"/>
                            <a:gd name="connsiteY13" fmla="*/ 5209 h 7092000"/>
                            <a:gd name="connsiteX14" fmla="*/ 527812 w 7560000"/>
                            <a:gd name="connsiteY14" fmla="*/ 742134 h 7092000"/>
                            <a:gd name="connsiteX15" fmla="*/ 3958760 w 7560000"/>
                            <a:gd name="connsiteY15" fmla="*/ 1634564 h 7092000"/>
                            <a:gd name="connsiteX16" fmla="*/ 542413 w 7560000"/>
                            <a:gd name="connsiteY16" fmla="*/ 6318621 h 7092000"/>
                            <a:gd name="connsiteX17" fmla="*/ 884876 w 7560000"/>
                            <a:gd name="connsiteY17" fmla="*/ 7085695 h 7092000"/>
                            <a:gd name="connsiteX18" fmla="*/ 976028 w 7560000"/>
                            <a:gd name="connsiteY18" fmla="*/ 7092000 h 7092000"/>
                            <a:gd name="connsiteX19" fmla="*/ 0 w 7560000"/>
                            <a:gd name="connsiteY19" fmla="*/ 7092000 h 7092000"/>
                            <a:gd name="connsiteX20" fmla="*/ 0 w 7560000"/>
                            <a:gd name="connsiteY20" fmla="*/ 0 h 7092000"/>
                            <a:gd name="connsiteX0" fmla="*/ 4571406 w 7560000"/>
                            <a:gd name="connsiteY0" fmla="*/ 0 h 7092000"/>
                            <a:gd name="connsiteX1" fmla="*/ 7560000 w 7560000"/>
                            <a:gd name="connsiteY1" fmla="*/ 0 h 7092000"/>
                            <a:gd name="connsiteX2" fmla="*/ 7560000 w 7560000"/>
                            <a:gd name="connsiteY2" fmla="*/ 7092000 h 7092000"/>
                            <a:gd name="connsiteX3" fmla="*/ 1162100 w 7560000"/>
                            <a:gd name="connsiteY3" fmla="*/ 6149617 h 7092000"/>
                            <a:gd name="connsiteX4" fmla="*/ 2198465 w 7560000"/>
                            <a:gd name="connsiteY4" fmla="*/ 5002756 h 7092000"/>
                            <a:gd name="connsiteX5" fmla="*/ 2865243 w 7560000"/>
                            <a:gd name="connsiteY5" fmla="*/ 4179759 h 7092000"/>
                            <a:gd name="connsiteX6" fmla="*/ 4221661 w 7560000"/>
                            <a:gd name="connsiteY6" fmla="*/ 2388978 h 7092000"/>
                            <a:gd name="connsiteX7" fmla="*/ 5318989 w 7560000"/>
                            <a:gd name="connsiteY7" fmla="*/ 2110835 h 7092000"/>
                            <a:gd name="connsiteX8" fmla="*/ 5162578 w 7560000"/>
                            <a:gd name="connsiteY8" fmla="*/ 381384 h 7092000"/>
                            <a:gd name="connsiteX9" fmla="*/ 4654234 w 7560000"/>
                            <a:gd name="connsiteY9" fmla="*/ 3140 h 7092000"/>
                            <a:gd name="connsiteX10" fmla="*/ 4571406 w 7560000"/>
                            <a:gd name="connsiteY10" fmla="*/ 0 h 7092000"/>
                            <a:gd name="connsiteX11" fmla="*/ 0 w 7560000"/>
                            <a:gd name="connsiteY11" fmla="*/ 0 h 7092000"/>
                            <a:gd name="connsiteX12" fmla="*/ 975511 w 7560000"/>
                            <a:gd name="connsiteY12" fmla="*/ 0 h 7092000"/>
                            <a:gd name="connsiteX13" fmla="*/ 884357 w 7560000"/>
                            <a:gd name="connsiteY13" fmla="*/ 5209 h 7092000"/>
                            <a:gd name="connsiteX14" fmla="*/ 527812 w 7560000"/>
                            <a:gd name="connsiteY14" fmla="*/ 742134 h 7092000"/>
                            <a:gd name="connsiteX15" fmla="*/ 3958760 w 7560000"/>
                            <a:gd name="connsiteY15" fmla="*/ 1634564 h 7092000"/>
                            <a:gd name="connsiteX16" fmla="*/ 542413 w 7560000"/>
                            <a:gd name="connsiteY16" fmla="*/ 6318621 h 7092000"/>
                            <a:gd name="connsiteX17" fmla="*/ 884876 w 7560000"/>
                            <a:gd name="connsiteY17" fmla="*/ 7085695 h 7092000"/>
                            <a:gd name="connsiteX18" fmla="*/ 976028 w 7560000"/>
                            <a:gd name="connsiteY18" fmla="*/ 7092000 h 7092000"/>
                            <a:gd name="connsiteX19" fmla="*/ 0 w 7560000"/>
                            <a:gd name="connsiteY19" fmla="*/ 7092000 h 7092000"/>
                            <a:gd name="connsiteX20" fmla="*/ 0 w 7560000"/>
                            <a:gd name="connsiteY20" fmla="*/ 0 h 7092000"/>
                            <a:gd name="connsiteX0" fmla="*/ 4571406 w 7560000"/>
                            <a:gd name="connsiteY0" fmla="*/ 0 h 7092000"/>
                            <a:gd name="connsiteX1" fmla="*/ 7560000 w 7560000"/>
                            <a:gd name="connsiteY1" fmla="*/ 0 h 7092000"/>
                            <a:gd name="connsiteX2" fmla="*/ 7560000 w 7560000"/>
                            <a:gd name="connsiteY2" fmla="*/ 7092000 h 7092000"/>
                            <a:gd name="connsiteX3" fmla="*/ 1097327 w 7560000"/>
                            <a:gd name="connsiteY3" fmla="*/ 7083110 h 7092000"/>
                            <a:gd name="connsiteX4" fmla="*/ 2198465 w 7560000"/>
                            <a:gd name="connsiteY4" fmla="*/ 5002756 h 7092000"/>
                            <a:gd name="connsiteX5" fmla="*/ 2865243 w 7560000"/>
                            <a:gd name="connsiteY5" fmla="*/ 4179759 h 7092000"/>
                            <a:gd name="connsiteX6" fmla="*/ 4221661 w 7560000"/>
                            <a:gd name="connsiteY6" fmla="*/ 2388978 h 7092000"/>
                            <a:gd name="connsiteX7" fmla="*/ 5318989 w 7560000"/>
                            <a:gd name="connsiteY7" fmla="*/ 2110835 h 7092000"/>
                            <a:gd name="connsiteX8" fmla="*/ 5162578 w 7560000"/>
                            <a:gd name="connsiteY8" fmla="*/ 381384 h 7092000"/>
                            <a:gd name="connsiteX9" fmla="*/ 4654234 w 7560000"/>
                            <a:gd name="connsiteY9" fmla="*/ 3140 h 7092000"/>
                            <a:gd name="connsiteX10" fmla="*/ 4571406 w 7560000"/>
                            <a:gd name="connsiteY10" fmla="*/ 0 h 7092000"/>
                            <a:gd name="connsiteX11" fmla="*/ 0 w 7560000"/>
                            <a:gd name="connsiteY11" fmla="*/ 0 h 7092000"/>
                            <a:gd name="connsiteX12" fmla="*/ 975511 w 7560000"/>
                            <a:gd name="connsiteY12" fmla="*/ 0 h 7092000"/>
                            <a:gd name="connsiteX13" fmla="*/ 884357 w 7560000"/>
                            <a:gd name="connsiteY13" fmla="*/ 5209 h 7092000"/>
                            <a:gd name="connsiteX14" fmla="*/ 527812 w 7560000"/>
                            <a:gd name="connsiteY14" fmla="*/ 742134 h 7092000"/>
                            <a:gd name="connsiteX15" fmla="*/ 3958760 w 7560000"/>
                            <a:gd name="connsiteY15" fmla="*/ 1634564 h 7092000"/>
                            <a:gd name="connsiteX16" fmla="*/ 542413 w 7560000"/>
                            <a:gd name="connsiteY16" fmla="*/ 6318621 h 7092000"/>
                            <a:gd name="connsiteX17" fmla="*/ 884876 w 7560000"/>
                            <a:gd name="connsiteY17" fmla="*/ 7085695 h 7092000"/>
                            <a:gd name="connsiteX18" fmla="*/ 976028 w 7560000"/>
                            <a:gd name="connsiteY18" fmla="*/ 7092000 h 7092000"/>
                            <a:gd name="connsiteX19" fmla="*/ 0 w 7560000"/>
                            <a:gd name="connsiteY19" fmla="*/ 7092000 h 7092000"/>
                            <a:gd name="connsiteX20" fmla="*/ 0 w 7560000"/>
                            <a:gd name="connsiteY20" fmla="*/ 0 h 7092000"/>
                            <a:gd name="connsiteX0" fmla="*/ 4571406 w 7560000"/>
                            <a:gd name="connsiteY0" fmla="*/ 0 h 7092000"/>
                            <a:gd name="connsiteX1" fmla="*/ 7560000 w 7560000"/>
                            <a:gd name="connsiteY1" fmla="*/ 0 h 7092000"/>
                            <a:gd name="connsiteX2" fmla="*/ 7560000 w 7560000"/>
                            <a:gd name="connsiteY2" fmla="*/ 7092000 h 7092000"/>
                            <a:gd name="connsiteX3" fmla="*/ 1097327 w 7560000"/>
                            <a:gd name="connsiteY3" fmla="*/ 7083110 h 7092000"/>
                            <a:gd name="connsiteX4" fmla="*/ 2198465 w 7560000"/>
                            <a:gd name="connsiteY4" fmla="*/ 5002756 h 7092000"/>
                            <a:gd name="connsiteX5" fmla="*/ 2865243 w 7560000"/>
                            <a:gd name="connsiteY5" fmla="*/ 4179759 h 7092000"/>
                            <a:gd name="connsiteX6" fmla="*/ 4221661 w 7560000"/>
                            <a:gd name="connsiteY6" fmla="*/ 2388978 h 7092000"/>
                            <a:gd name="connsiteX7" fmla="*/ 5162578 w 7560000"/>
                            <a:gd name="connsiteY7" fmla="*/ 381384 h 7092000"/>
                            <a:gd name="connsiteX8" fmla="*/ 4654234 w 7560000"/>
                            <a:gd name="connsiteY8" fmla="*/ 3140 h 7092000"/>
                            <a:gd name="connsiteX9" fmla="*/ 4571406 w 7560000"/>
                            <a:gd name="connsiteY9" fmla="*/ 0 h 7092000"/>
                            <a:gd name="connsiteX10" fmla="*/ 0 w 7560000"/>
                            <a:gd name="connsiteY10" fmla="*/ 0 h 7092000"/>
                            <a:gd name="connsiteX11" fmla="*/ 975511 w 7560000"/>
                            <a:gd name="connsiteY11" fmla="*/ 0 h 7092000"/>
                            <a:gd name="connsiteX12" fmla="*/ 884357 w 7560000"/>
                            <a:gd name="connsiteY12" fmla="*/ 5209 h 7092000"/>
                            <a:gd name="connsiteX13" fmla="*/ 527812 w 7560000"/>
                            <a:gd name="connsiteY13" fmla="*/ 742134 h 7092000"/>
                            <a:gd name="connsiteX14" fmla="*/ 3958760 w 7560000"/>
                            <a:gd name="connsiteY14" fmla="*/ 1634564 h 7092000"/>
                            <a:gd name="connsiteX15" fmla="*/ 542413 w 7560000"/>
                            <a:gd name="connsiteY15" fmla="*/ 6318621 h 7092000"/>
                            <a:gd name="connsiteX16" fmla="*/ 884876 w 7560000"/>
                            <a:gd name="connsiteY16" fmla="*/ 7085695 h 7092000"/>
                            <a:gd name="connsiteX17" fmla="*/ 976028 w 7560000"/>
                            <a:gd name="connsiteY17" fmla="*/ 7092000 h 7092000"/>
                            <a:gd name="connsiteX18" fmla="*/ 0 w 7560000"/>
                            <a:gd name="connsiteY18" fmla="*/ 7092000 h 7092000"/>
                            <a:gd name="connsiteX19" fmla="*/ 0 w 7560000"/>
                            <a:gd name="connsiteY19" fmla="*/ 0 h 7092000"/>
                            <a:gd name="connsiteX0" fmla="*/ 4571406 w 7560000"/>
                            <a:gd name="connsiteY0" fmla="*/ 83969 h 7175969"/>
                            <a:gd name="connsiteX1" fmla="*/ 7560000 w 7560000"/>
                            <a:gd name="connsiteY1" fmla="*/ 83969 h 7175969"/>
                            <a:gd name="connsiteX2" fmla="*/ 7560000 w 7560000"/>
                            <a:gd name="connsiteY2" fmla="*/ 7175969 h 7175969"/>
                            <a:gd name="connsiteX3" fmla="*/ 1097327 w 7560000"/>
                            <a:gd name="connsiteY3" fmla="*/ 7167079 h 7175969"/>
                            <a:gd name="connsiteX4" fmla="*/ 2198465 w 7560000"/>
                            <a:gd name="connsiteY4" fmla="*/ 5086725 h 7175969"/>
                            <a:gd name="connsiteX5" fmla="*/ 2865243 w 7560000"/>
                            <a:gd name="connsiteY5" fmla="*/ 4263728 h 7175969"/>
                            <a:gd name="connsiteX6" fmla="*/ 4221661 w 7560000"/>
                            <a:gd name="connsiteY6" fmla="*/ 2472947 h 7175969"/>
                            <a:gd name="connsiteX7" fmla="*/ 5162578 w 7560000"/>
                            <a:gd name="connsiteY7" fmla="*/ 465353 h 7175969"/>
                            <a:gd name="connsiteX8" fmla="*/ 4654234 w 7560000"/>
                            <a:gd name="connsiteY8" fmla="*/ 87109 h 7175969"/>
                            <a:gd name="connsiteX9" fmla="*/ 4571406 w 7560000"/>
                            <a:gd name="connsiteY9" fmla="*/ 83969 h 7175969"/>
                            <a:gd name="connsiteX10" fmla="*/ 0 w 7560000"/>
                            <a:gd name="connsiteY10" fmla="*/ 83969 h 7175969"/>
                            <a:gd name="connsiteX11" fmla="*/ 975511 w 7560000"/>
                            <a:gd name="connsiteY11" fmla="*/ 83969 h 7175969"/>
                            <a:gd name="connsiteX12" fmla="*/ 884357 w 7560000"/>
                            <a:gd name="connsiteY12" fmla="*/ 89178 h 7175969"/>
                            <a:gd name="connsiteX13" fmla="*/ 4309295 w 7560000"/>
                            <a:gd name="connsiteY13" fmla="*/ 1272743 h 7175969"/>
                            <a:gd name="connsiteX14" fmla="*/ 3958760 w 7560000"/>
                            <a:gd name="connsiteY14" fmla="*/ 1718533 h 7175969"/>
                            <a:gd name="connsiteX15" fmla="*/ 542413 w 7560000"/>
                            <a:gd name="connsiteY15" fmla="*/ 6402590 h 7175969"/>
                            <a:gd name="connsiteX16" fmla="*/ 884876 w 7560000"/>
                            <a:gd name="connsiteY16" fmla="*/ 7169664 h 7175969"/>
                            <a:gd name="connsiteX17" fmla="*/ 976028 w 7560000"/>
                            <a:gd name="connsiteY17" fmla="*/ 7175969 h 7175969"/>
                            <a:gd name="connsiteX18" fmla="*/ 0 w 7560000"/>
                            <a:gd name="connsiteY18" fmla="*/ 7175969 h 7175969"/>
                            <a:gd name="connsiteX19" fmla="*/ 0 w 7560000"/>
                            <a:gd name="connsiteY19" fmla="*/ 83969 h 7175969"/>
                            <a:gd name="connsiteX0" fmla="*/ 4571406 w 7560000"/>
                            <a:gd name="connsiteY0" fmla="*/ 0 h 7092000"/>
                            <a:gd name="connsiteX1" fmla="*/ 7560000 w 7560000"/>
                            <a:gd name="connsiteY1" fmla="*/ 0 h 7092000"/>
                            <a:gd name="connsiteX2" fmla="*/ 7560000 w 7560000"/>
                            <a:gd name="connsiteY2" fmla="*/ 7092000 h 7092000"/>
                            <a:gd name="connsiteX3" fmla="*/ 1097327 w 7560000"/>
                            <a:gd name="connsiteY3" fmla="*/ 7083110 h 7092000"/>
                            <a:gd name="connsiteX4" fmla="*/ 2198465 w 7560000"/>
                            <a:gd name="connsiteY4" fmla="*/ 5002756 h 7092000"/>
                            <a:gd name="connsiteX5" fmla="*/ 2865243 w 7560000"/>
                            <a:gd name="connsiteY5" fmla="*/ 4179759 h 7092000"/>
                            <a:gd name="connsiteX6" fmla="*/ 4221661 w 7560000"/>
                            <a:gd name="connsiteY6" fmla="*/ 2388978 h 7092000"/>
                            <a:gd name="connsiteX7" fmla="*/ 5162578 w 7560000"/>
                            <a:gd name="connsiteY7" fmla="*/ 381384 h 7092000"/>
                            <a:gd name="connsiteX8" fmla="*/ 4654234 w 7560000"/>
                            <a:gd name="connsiteY8" fmla="*/ 3140 h 7092000"/>
                            <a:gd name="connsiteX9" fmla="*/ 4571406 w 7560000"/>
                            <a:gd name="connsiteY9" fmla="*/ 0 h 7092000"/>
                            <a:gd name="connsiteX10" fmla="*/ 0 w 7560000"/>
                            <a:gd name="connsiteY10" fmla="*/ 0 h 7092000"/>
                            <a:gd name="connsiteX11" fmla="*/ 975511 w 7560000"/>
                            <a:gd name="connsiteY11" fmla="*/ 0 h 7092000"/>
                            <a:gd name="connsiteX12" fmla="*/ 1257354 w 7560000"/>
                            <a:gd name="connsiteY12" fmla="*/ 1091493 h 7092000"/>
                            <a:gd name="connsiteX13" fmla="*/ 4309295 w 7560000"/>
                            <a:gd name="connsiteY13" fmla="*/ 1188774 h 7092000"/>
                            <a:gd name="connsiteX14" fmla="*/ 3958760 w 7560000"/>
                            <a:gd name="connsiteY14" fmla="*/ 1634564 h 7092000"/>
                            <a:gd name="connsiteX15" fmla="*/ 542413 w 7560000"/>
                            <a:gd name="connsiteY15" fmla="*/ 6318621 h 7092000"/>
                            <a:gd name="connsiteX16" fmla="*/ 884876 w 7560000"/>
                            <a:gd name="connsiteY16" fmla="*/ 7085695 h 7092000"/>
                            <a:gd name="connsiteX17" fmla="*/ 976028 w 7560000"/>
                            <a:gd name="connsiteY17" fmla="*/ 7092000 h 7092000"/>
                            <a:gd name="connsiteX18" fmla="*/ 0 w 7560000"/>
                            <a:gd name="connsiteY18" fmla="*/ 7092000 h 7092000"/>
                            <a:gd name="connsiteX19" fmla="*/ 0 w 7560000"/>
                            <a:gd name="connsiteY19" fmla="*/ 0 h 7092000"/>
                            <a:gd name="connsiteX0" fmla="*/ 4571406 w 7560000"/>
                            <a:gd name="connsiteY0" fmla="*/ 0 h 7092000"/>
                            <a:gd name="connsiteX1" fmla="*/ 7560000 w 7560000"/>
                            <a:gd name="connsiteY1" fmla="*/ 0 h 7092000"/>
                            <a:gd name="connsiteX2" fmla="*/ 7560000 w 7560000"/>
                            <a:gd name="connsiteY2" fmla="*/ 7092000 h 7092000"/>
                            <a:gd name="connsiteX3" fmla="*/ 1097327 w 7560000"/>
                            <a:gd name="connsiteY3" fmla="*/ 7083110 h 7092000"/>
                            <a:gd name="connsiteX4" fmla="*/ 2198465 w 7560000"/>
                            <a:gd name="connsiteY4" fmla="*/ 5002756 h 7092000"/>
                            <a:gd name="connsiteX5" fmla="*/ 2865243 w 7560000"/>
                            <a:gd name="connsiteY5" fmla="*/ 4179759 h 7092000"/>
                            <a:gd name="connsiteX6" fmla="*/ 4221661 w 7560000"/>
                            <a:gd name="connsiteY6" fmla="*/ 2388978 h 7092000"/>
                            <a:gd name="connsiteX7" fmla="*/ 5162578 w 7560000"/>
                            <a:gd name="connsiteY7" fmla="*/ 381384 h 7092000"/>
                            <a:gd name="connsiteX8" fmla="*/ 4654234 w 7560000"/>
                            <a:gd name="connsiteY8" fmla="*/ 3140 h 7092000"/>
                            <a:gd name="connsiteX9" fmla="*/ 4571406 w 7560000"/>
                            <a:gd name="connsiteY9" fmla="*/ 0 h 7092000"/>
                            <a:gd name="connsiteX10" fmla="*/ 0 w 7560000"/>
                            <a:gd name="connsiteY10" fmla="*/ 0 h 7092000"/>
                            <a:gd name="connsiteX11" fmla="*/ 1257354 w 7560000"/>
                            <a:gd name="connsiteY11" fmla="*/ 1091493 h 7092000"/>
                            <a:gd name="connsiteX12" fmla="*/ 4309295 w 7560000"/>
                            <a:gd name="connsiteY12" fmla="*/ 1188774 h 7092000"/>
                            <a:gd name="connsiteX13" fmla="*/ 3958760 w 7560000"/>
                            <a:gd name="connsiteY13" fmla="*/ 1634564 h 7092000"/>
                            <a:gd name="connsiteX14" fmla="*/ 542413 w 7560000"/>
                            <a:gd name="connsiteY14" fmla="*/ 6318621 h 7092000"/>
                            <a:gd name="connsiteX15" fmla="*/ 884876 w 7560000"/>
                            <a:gd name="connsiteY15" fmla="*/ 7085695 h 7092000"/>
                            <a:gd name="connsiteX16" fmla="*/ 976028 w 7560000"/>
                            <a:gd name="connsiteY16" fmla="*/ 7092000 h 7092000"/>
                            <a:gd name="connsiteX17" fmla="*/ 0 w 7560000"/>
                            <a:gd name="connsiteY17" fmla="*/ 7092000 h 7092000"/>
                            <a:gd name="connsiteX18" fmla="*/ 0 w 7560000"/>
                            <a:gd name="connsiteY18" fmla="*/ 0 h 7092000"/>
                            <a:gd name="connsiteX0" fmla="*/ 4571406 w 7560000"/>
                            <a:gd name="connsiteY0" fmla="*/ 0 h 7092000"/>
                            <a:gd name="connsiteX1" fmla="*/ 7560000 w 7560000"/>
                            <a:gd name="connsiteY1" fmla="*/ 0 h 7092000"/>
                            <a:gd name="connsiteX2" fmla="*/ 7560000 w 7560000"/>
                            <a:gd name="connsiteY2" fmla="*/ 7092000 h 7092000"/>
                            <a:gd name="connsiteX3" fmla="*/ 1097327 w 7560000"/>
                            <a:gd name="connsiteY3" fmla="*/ 7083110 h 7092000"/>
                            <a:gd name="connsiteX4" fmla="*/ 2198465 w 7560000"/>
                            <a:gd name="connsiteY4" fmla="*/ 5002756 h 7092000"/>
                            <a:gd name="connsiteX5" fmla="*/ 2865243 w 7560000"/>
                            <a:gd name="connsiteY5" fmla="*/ 4179759 h 7092000"/>
                            <a:gd name="connsiteX6" fmla="*/ 4221661 w 7560000"/>
                            <a:gd name="connsiteY6" fmla="*/ 2388978 h 7092000"/>
                            <a:gd name="connsiteX7" fmla="*/ 5162578 w 7560000"/>
                            <a:gd name="connsiteY7" fmla="*/ 381384 h 7092000"/>
                            <a:gd name="connsiteX8" fmla="*/ 4654234 w 7560000"/>
                            <a:gd name="connsiteY8" fmla="*/ 3140 h 7092000"/>
                            <a:gd name="connsiteX9" fmla="*/ 4571406 w 7560000"/>
                            <a:gd name="connsiteY9" fmla="*/ 0 h 7092000"/>
                            <a:gd name="connsiteX10" fmla="*/ 0 w 7560000"/>
                            <a:gd name="connsiteY10" fmla="*/ 0 h 7092000"/>
                            <a:gd name="connsiteX11" fmla="*/ 3231019 w 7560000"/>
                            <a:gd name="connsiteY11" fmla="*/ 720187 h 7092000"/>
                            <a:gd name="connsiteX12" fmla="*/ 4309295 w 7560000"/>
                            <a:gd name="connsiteY12" fmla="*/ 1188774 h 7092000"/>
                            <a:gd name="connsiteX13" fmla="*/ 3958760 w 7560000"/>
                            <a:gd name="connsiteY13" fmla="*/ 1634564 h 7092000"/>
                            <a:gd name="connsiteX14" fmla="*/ 542413 w 7560000"/>
                            <a:gd name="connsiteY14" fmla="*/ 6318621 h 7092000"/>
                            <a:gd name="connsiteX15" fmla="*/ 884876 w 7560000"/>
                            <a:gd name="connsiteY15" fmla="*/ 7085695 h 7092000"/>
                            <a:gd name="connsiteX16" fmla="*/ 976028 w 7560000"/>
                            <a:gd name="connsiteY16" fmla="*/ 7092000 h 7092000"/>
                            <a:gd name="connsiteX17" fmla="*/ 0 w 7560000"/>
                            <a:gd name="connsiteY17" fmla="*/ 7092000 h 7092000"/>
                            <a:gd name="connsiteX18" fmla="*/ 0 w 7560000"/>
                            <a:gd name="connsiteY18" fmla="*/ 0 h 7092000"/>
                            <a:gd name="connsiteX0" fmla="*/ 4571406 w 7560000"/>
                            <a:gd name="connsiteY0" fmla="*/ 0 h 7092000"/>
                            <a:gd name="connsiteX1" fmla="*/ 7560000 w 7560000"/>
                            <a:gd name="connsiteY1" fmla="*/ 0 h 7092000"/>
                            <a:gd name="connsiteX2" fmla="*/ 7560000 w 7560000"/>
                            <a:gd name="connsiteY2" fmla="*/ 7092000 h 7092000"/>
                            <a:gd name="connsiteX3" fmla="*/ 1097327 w 7560000"/>
                            <a:gd name="connsiteY3" fmla="*/ 7083110 h 7092000"/>
                            <a:gd name="connsiteX4" fmla="*/ 2198465 w 7560000"/>
                            <a:gd name="connsiteY4" fmla="*/ 5002756 h 7092000"/>
                            <a:gd name="connsiteX5" fmla="*/ 2865243 w 7560000"/>
                            <a:gd name="connsiteY5" fmla="*/ 4179759 h 7092000"/>
                            <a:gd name="connsiteX6" fmla="*/ 4221661 w 7560000"/>
                            <a:gd name="connsiteY6" fmla="*/ 2388978 h 7092000"/>
                            <a:gd name="connsiteX7" fmla="*/ 5162578 w 7560000"/>
                            <a:gd name="connsiteY7" fmla="*/ 381384 h 7092000"/>
                            <a:gd name="connsiteX8" fmla="*/ 6694458 w 7560000"/>
                            <a:gd name="connsiteY8" fmla="*/ 842123 h 7092000"/>
                            <a:gd name="connsiteX9" fmla="*/ 4571406 w 7560000"/>
                            <a:gd name="connsiteY9" fmla="*/ 0 h 7092000"/>
                            <a:gd name="connsiteX10" fmla="*/ 0 w 7560000"/>
                            <a:gd name="connsiteY10" fmla="*/ 0 h 7092000"/>
                            <a:gd name="connsiteX11" fmla="*/ 3231019 w 7560000"/>
                            <a:gd name="connsiteY11" fmla="*/ 720187 h 7092000"/>
                            <a:gd name="connsiteX12" fmla="*/ 4309295 w 7560000"/>
                            <a:gd name="connsiteY12" fmla="*/ 1188774 h 7092000"/>
                            <a:gd name="connsiteX13" fmla="*/ 3958760 w 7560000"/>
                            <a:gd name="connsiteY13" fmla="*/ 1634564 h 7092000"/>
                            <a:gd name="connsiteX14" fmla="*/ 542413 w 7560000"/>
                            <a:gd name="connsiteY14" fmla="*/ 6318621 h 7092000"/>
                            <a:gd name="connsiteX15" fmla="*/ 884876 w 7560000"/>
                            <a:gd name="connsiteY15" fmla="*/ 7085695 h 7092000"/>
                            <a:gd name="connsiteX16" fmla="*/ 976028 w 7560000"/>
                            <a:gd name="connsiteY16" fmla="*/ 7092000 h 7092000"/>
                            <a:gd name="connsiteX17" fmla="*/ 0 w 7560000"/>
                            <a:gd name="connsiteY17" fmla="*/ 7092000 h 7092000"/>
                            <a:gd name="connsiteX18" fmla="*/ 0 w 7560000"/>
                            <a:gd name="connsiteY18" fmla="*/ 0 h 7092000"/>
                            <a:gd name="connsiteX0" fmla="*/ 4571406 w 7560000"/>
                            <a:gd name="connsiteY0" fmla="*/ 0 h 7092000"/>
                            <a:gd name="connsiteX1" fmla="*/ 7560000 w 7560000"/>
                            <a:gd name="connsiteY1" fmla="*/ 0 h 7092000"/>
                            <a:gd name="connsiteX2" fmla="*/ 7560000 w 7560000"/>
                            <a:gd name="connsiteY2" fmla="*/ 7092000 h 7092000"/>
                            <a:gd name="connsiteX3" fmla="*/ 1097327 w 7560000"/>
                            <a:gd name="connsiteY3" fmla="*/ 7083110 h 7092000"/>
                            <a:gd name="connsiteX4" fmla="*/ 2198465 w 7560000"/>
                            <a:gd name="connsiteY4" fmla="*/ 5002756 h 7092000"/>
                            <a:gd name="connsiteX5" fmla="*/ 2865243 w 7560000"/>
                            <a:gd name="connsiteY5" fmla="*/ 4179759 h 7092000"/>
                            <a:gd name="connsiteX6" fmla="*/ 4221661 w 7560000"/>
                            <a:gd name="connsiteY6" fmla="*/ 2388978 h 7092000"/>
                            <a:gd name="connsiteX7" fmla="*/ 6896396 w 7560000"/>
                            <a:gd name="connsiteY7" fmla="*/ 1973846 h 7092000"/>
                            <a:gd name="connsiteX8" fmla="*/ 6694458 w 7560000"/>
                            <a:gd name="connsiteY8" fmla="*/ 842123 h 7092000"/>
                            <a:gd name="connsiteX9" fmla="*/ 4571406 w 7560000"/>
                            <a:gd name="connsiteY9" fmla="*/ 0 h 7092000"/>
                            <a:gd name="connsiteX10" fmla="*/ 0 w 7560000"/>
                            <a:gd name="connsiteY10" fmla="*/ 0 h 7092000"/>
                            <a:gd name="connsiteX11" fmla="*/ 3231019 w 7560000"/>
                            <a:gd name="connsiteY11" fmla="*/ 720187 h 7092000"/>
                            <a:gd name="connsiteX12" fmla="*/ 4309295 w 7560000"/>
                            <a:gd name="connsiteY12" fmla="*/ 1188774 h 7092000"/>
                            <a:gd name="connsiteX13" fmla="*/ 3958760 w 7560000"/>
                            <a:gd name="connsiteY13" fmla="*/ 1634564 h 7092000"/>
                            <a:gd name="connsiteX14" fmla="*/ 542413 w 7560000"/>
                            <a:gd name="connsiteY14" fmla="*/ 6318621 h 7092000"/>
                            <a:gd name="connsiteX15" fmla="*/ 884876 w 7560000"/>
                            <a:gd name="connsiteY15" fmla="*/ 7085695 h 7092000"/>
                            <a:gd name="connsiteX16" fmla="*/ 976028 w 7560000"/>
                            <a:gd name="connsiteY16" fmla="*/ 7092000 h 7092000"/>
                            <a:gd name="connsiteX17" fmla="*/ 0 w 7560000"/>
                            <a:gd name="connsiteY17" fmla="*/ 7092000 h 7092000"/>
                            <a:gd name="connsiteX18" fmla="*/ 0 w 7560000"/>
                            <a:gd name="connsiteY18" fmla="*/ 0 h 7092000"/>
                            <a:gd name="connsiteX0" fmla="*/ 4541715 w 7560000"/>
                            <a:gd name="connsiteY0" fmla="*/ 1085996 h 7092000"/>
                            <a:gd name="connsiteX1" fmla="*/ 7560000 w 7560000"/>
                            <a:gd name="connsiteY1" fmla="*/ 0 h 7092000"/>
                            <a:gd name="connsiteX2" fmla="*/ 7560000 w 7560000"/>
                            <a:gd name="connsiteY2" fmla="*/ 7092000 h 7092000"/>
                            <a:gd name="connsiteX3" fmla="*/ 1097327 w 7560000"/>
                            <a:gd name="connsiteY3" fmla="*/ 7083110 h 7092000"/>
                            <a:gd name="connsiteX4" fmla="*/ 2198465 w 7560000"/>
                            <a:gd name="connsiteY4" fmla="*/ 5002756 h 7092000"/>
                            <a:gd name="connsiteX5" fmla="*/ 2865243 w 7560000"/>
                            <a:gd name="connsiteY5" fmla="*/ 4179759 h 7092000"/>
                            <a:gd name="connsiteX6" fmla="*/ 4221661 w 7560000"/>
                            <a:gd name="connsiteY6" fmla="*/ 2388978 h 7092000"/>
                            <a:gd name="connsiteX7" fmla="*/ 6896396 w 7560000"/>
                            <a:gd name="connsiteY7" fmla="*/ 1973846 h 7092000"/>
                            <a:gd name="connsiteX8" fmla="*/ 6694458 w 7560000"/>
                            <a:gd name="connsiteY8" fmla="*/ 842123 h 7092000"/>
                            <a:gd name="connsiteX9" fmla="*/ 4541715 w 7560000"/>
                            <a:gd name="connsiteY9" fmla="*/ 1085996 h 7092000"/>
                            <a:gd name="connsiteX10" fmla="*/ 0 w 7560000"/>
                            <a:gd name="connsiteY10" fmla="*/ 0 h 7092000"/>
                            <a:gd name="connsiteX11" fmla="*/ 3231019 w 7560000"/>
                            <a:gd name="connsiteY11" fmla="*/ 720187 h 7092000"/>
                            <a:gd name="connsiteX12" fmla="*/ 4309295 w 7560000"/>
                            <a:gd name="connsiteY12" fmla="*/ 1188774 h 7092000"/>
                            <a:gd name="connsiteX13" fmla="*/ 3958760 w 7560000"/>
                            <a:gd name="connsiteY13" fmla="*/ 1634564 h 7092000"/>
                            <a:gd name="connsiteX14" fmla="*/ 542413 w 7560000"/>
                            <a:gd name="connsiteY14" fmla="*/ 6318621 h 7092000"/>
                            <a:gd name="connsiteX15" fmla="*/ 884876 w 7560000"/>
                            <a:gd name="connsiteY15" fmla="*/ 7085695 h 7092000"/>
                            <a:gd name="connsiteX16" fmla="*/ 976028 w 7560000"/>
                            <a:gd name="connsiteY16" fmla="*/ 7092000 h 7092000"/>
                            <a:gd name="connsiteX17" fmla="*/ 0 w 7560000"/>
                            <a:gd name="connsiteY17" fmla="*/ 7092000 h 7092000"/>
                            <a:gd name="connsiteX18" fmla="*/ 0 w 7560000"/>
                            <a:gd name="connsiteY18" fmla="*/ 0 h 7092000"/>
                            <a:gd name="connsiteX0" fmla="*/ 4541715 w 7560000"/>
                            <a:gd name="connsiteY0" fmla="*/ 1085996 h 7092000"/>
                            <a:gd name="connsiteX1" fmla="*/ 7560000 w 7560000"/>
                            <a:gd name="connsiteY1" fmla="*/ 0 h 7092000"/>
                            <a:gd name="connsiteX2" fmla="*/ 7560000 w 7560000"/>
                            <a:gd name="connsiteY2" fmla="*/ 7092000 h 7092000"/>
                            <a:gd name="connsiteX3" fmla="*/ 1097327 w 7560000"/>
                            <a:gd name="connsiteY3" fmla="*/ 7083110 h 7092000"/>
                            <a:gd name="connsiteX4" fmla="*/ 2198465 w 7560000"/>
                            <a:gd name="connsiteY4" fmla="*/ 5002756 h 7092000"/>
                            <a:gd name="connsiteX5" fmla="*/ 2865243 w 7560000"/>
                            <a:gd name="connsiteY5" fmla="*/ 4179759 h 7092000"/>
                            <a:gd name="connsiteX6" fmla="*/ 4221661 w 7560000"/>
                            <a:gd name="connsiteY6" fmla="*/ 2388978 h 7092000"/>
                            <a:gd name="connsiteX7" fmla="*/ 4362638 w 7560000"/>
                            <a:gd name="connsiteY7" fmla="*/ 1832857 h 7092000"/>
                            <a:gd name="connsiteX8" fmla="*/ 6694458 w 7560000"/>
                            <a:gd name="connsiteY8" fmla="*/ 842123 h 7092000"/>
                            <a:gd name="connsiteX9" fmla="*/ 4541715 w 7560000"/>
                            <a:gd name="connsiteY9" fmla="*/ 1085996 h 7092000"/>
                            <a:gd name="connsiteX10" fmla="*/ 0 w 7560000"/>
                            <a:gd name="connsiteY10" fmla="*/ 0 h 7092000"/>
                            <a:gd name="connsiteX11" fmla="*/ 3231019 w 7560000"/>
                            <a:gd name="connsiteY11" fmla="*/ 720187 h 7092000"/>
                            <a:gd name="connsiteX12" fmla="*/ 4309295 w 7560000"/>
                            <a:gd name="connsiteY12" fmla="*/ 1188774 h 7092000"/>
                            <a:gd name="connsiteX13" fmla="*/ 3958760 w 7560000"/>
                            <a:gd name="connsiteY13" fmla="*/ 1634564 h 7092000"/>
                            <a:gd name="connsiteX14" fmla="*/ 542413 w 7560000"/>
                            <a:gd name="connsiteY14" fmla="*/ 6318621 h 7092000"/>
                            <a:gd name="connsiteX15" fmla="*/ 884876 w 7560000"/>
                            <a:gd name="connsiteY15" fmla="*/ 7085695 h 7092000"/>
                            <a:gd name="connsiteX16" fmla="*/ 976028 w 7560000"/>
                            <a:gd name="connsiteY16" fmla="*/ 7092000 h 7092000"/>
                            <a:gd name="connsiteX17" fmla="*/ 0 w 7560000"/>
                            <a:gd name="connsiteY17" fmla="*/ 7092000 h 7092000"/>
                            <a:gd name="connsiteX18" fmla="*/ 0 w 7560000"/>
                            <a:gd name="connsiteY18" fmla="*/ 0 h 7092000"/>
                            <a:gd name="connsiteX0" fmla="*/ 4541715 w 7560000"/>
                            <a:gd name="connsiteY0" fmla="*/ 1085996 h 7092000"/>
                            <a:gd name="connsiteX1" fmla="*/ 7560000 w 7560000"/>
                            <a:gd name="connsiteY1" fmla="*/ 0 h 7092000"/>
                            <a:gd name="connsiteX2" fmla="*/ 7560000 w 7560000"/>
                            <a:gd name="connsiteY2" fmla="*/ 7092000 h 7092000"/>
                            <a:gd name="connsiteX3" fmla="*/ 1097327 w 7560000"/>
                            <a:gd name="connsiteY3" fmla="*/ 7083110 h 7092000"/>
                            <a:gd name="connsiteX4" fmla="*/ 2198465 w 7560000"/>
                            <a:gd name="connsiteY4" fmla="*/ 5002756 h 7092000"/>
                            <a:gd name="connsiteX5" fmla="*/ 2865243 w 7560000"/>
                            <a:gd name="connsiteY5" fmla="*/ 4179759 h 7092000"/>
                            <a:gd name="connsiteX6" fmla="*/ 4221661 w 7560000"/>
                            <a:gd name="connsiteY6" fmla="*/ 2388978 h 7092000"/>
                            <a:gd name="connsiteX7" fmla="*/ 4362638 w 7560000"/>
                            <a:gd name="connsiteY7" fmla="*/ 1832857 h 7092000"/>
                            <a:gd name="connsiteX8" fmla="*/ 4370258 w 7560000"/>
                            <a:gd name="connsiteY8" fmla="*/ 1520395 h 7092000"/>
                            <a:gd name="connsiteX9" fmla="*/ 4541715 w 7560000"/>
                            <a:gd name="connsiteY9" fmla="*/ 1085996 h 7092000"/>
                            <a:gd name="connsiteX10" fmla="*/ 0 w 7560000"/>
                            <a:gd name="connsiteY10" fmla="*/ 0 h 7092000"/>
                            <a:gd name="connsiteX11" fmla="*/ 3231019 w 7560000"/>
                            <a:gd name="connsiteY11" fmla="*/ 720187 h 7092000"/>
                            <a:gd name="connsiteX12" fmla="*/ 4309295 w 7560000"/>
                            <a:gd name="connsiteY12" fmla="*/ 1188774 h 7092000"/>
                            <a:gd name="connsiteX13" fmla="*/ 3958760 w 7560000"/>
                            <a:gd name="connsiteY13" fmla="*/ 1634564 h 7092000"/>
                            <a:gd name="connsiteX14" fmla="*/ 542413 w 7560000"/>
                            <a:gd name="connsiteY14" fmla="*/ 6318621 h 7092000"/>
                            <a:gd name="connsiteX15" fmla="*/ 884876 w 7560000"/>
                            <a:gd name="connsiteY15" fmla="*/ 7085695 h 7092000"/>
                            <a:gd name="connsiteX16" fmla="*/ 976028 w 7560000"/>
                            <a:gd name="connsiteY16" fmla="*/ 7092000 h 7092000"/>
                            <a:gd name="connsiteX17" fmla="*/ 0 w 7560000"/>
                            <a:gd name="connsiteY17" fmla="*/ 7092000 h 7092000"/>
                            <a:gd name="connsiteX18" fmla="*/ 0 w 7560000"/>
                            <a:gd name="connsiteY18" fmla="*/ 0 h 7092000"/>
                            <a:gd name="connsiteX0" fmla="*/ 4541715 w 7560584"/>
                            <a:gd name="connsiteY0" fmla="*/ 1085996 h 7092000"/>
                            <a:gd name="connsiteX1" fmla="*/ 7560584 w 7560584"/>
                            <a:gd name="connsiteY1" fmla="*/ 1917907 h 7092000"/>
                            <a:gd name="connsiteX2" fmla="*/ 7560000 w 7560584"/>
                            <a:gd name="connsiteY2" fmla="*/ 7092000 h 7092000"/>
                            <a:gd name="connsiteX3" fmla="*/ 1097327 w 7560584"/>
                            <a:gd name="connsiteY3" fmla="*/ 7083110 h 7092000"/>
                            <a:gd name="connsiteX4" fmla="*/ 2198465 w 7560584"/>
                            <a:gd name="connsiteY4" fmla="*/ 5002756 h 7092000"/>
                            <a:gd name="connsiteX5" fmla="*/ 2865243 w 7560584"/>
                            <a:gd name="connsiteY5" fmla="*/ 4179759 h 7092000"/>
                            <a:gd name="connsiteX6" fmla="*/ 4221661 w 7560584"/>
                            <a:gd name="connsiteY6" fmla="*/ 2388978 h 7092000"/>
                            <a:gd name="connsiteX7" fmla="*/ 4362638 w 7560584"/>
                            <a:gd name="connsiteY7" fmla="*/ 1832857 h 7092000"/>
                            <a:gd name="connsiteX8" fmla="*/ 4370258 w 7560584"/>
                            <a:gd name="connsiteY8" fmla="*/ 1520395 h 7092000"/>
                            <a:gd name="connsiteX9" fmla="*/ 4541715 w 7560584"/>
                            <a:gd name="connsiteY9" fmla="*/ 1085996 h 7092000"/>
                            <a:gd name="connsiteX10" fmla="*/ 0 w 7560584"/>
                            <a:gd name="connsiteY10" fmla="*/ 0 h 7092000"/>
                            <a:gd name="connsiteX11" fmla="*/ 3231019 w 7560584"/>
                            <a:gd name="connsiteY11" fmla="*/ 720187 h 7092000"/>
                            <a:gd name="connsiteX12" fmla="*/ 4309295 w 7560584"/>
                            <a:gd name="connsiteY12" fmla="*/ 1188774 h 7092000"/>
                            <a:gd name="connsiteX13" fmla="*/ 3958760 w 7560584"/>
                            <a:gd name="connsiteY13" fmla="*/ 1634564 h 7092000"/>
                            <a:gd name="connsiteX14" fmla="*/ 542413 w 7560584"/>
                            <a:gd name="connsiteY14" fmla="*/ 6318621 h 7092000"/>
                            <a:gd name="connsiteX15" fmla="*/ 884876 w 7560584"/>
                            <a:gd name="connsiteY15" fmla="*/ 7085695 h 7092000"/>
                            <a:gd name="connsiteX16" fmla="*/ 976028 w 7560584"/>
                            <a:gd name="connsiteY16" fmla="*/ 7092000 h 7092000"/>
                            <a:gd name="connsiteX17" fmla="*/ 0 w 7560584"/>
                            <a:gd name="connsiteY17" fmla="*/ 7092000 h 7092000"/>
                            <a:gd name="connsiteX18" fmla="*/ 0 w 7560584"/>
                            <a:gd name="connsiteY18" fmla="*/ 0 h 7092000"/>
                            <a:gd name="connsiteX0" fmla="*/ 4541715 w 7560584"/>
                            <a:gd name="connsiteY0" fmla="*/ 1085996 h 7092000"/>
                            <a:gd name="connsiteX1" fmla="*/ 7560584 w 7560584"/>
                            <a:gd name="connsiteY1" fmla="*/ 1917907 h 7092000"/>
                            <a:gd name="connsiteX2" fmla="*/ 7560000 w 7560584"/>
                            <a:gd name="connsiteY2" fmla="*/ 7092000 h 7092000"/>
                            <a:gd name="connsiteX3" fmla="*/ 1097327 w 7560584"/>
                            <a:gd name="connsiteY3" fmla="*/ 7083110 h 7092000"/>
                            <a:gd name="connsiteX4" fmla="*/ 2198465 w 7560584"/>
                            <a:gd name="connsiteY4" fmla="*/ 5002756 h 7092000"/>
                            <a:gd name="connsiteX5" fmla="*/ 2865243 w 7560584"/>
                            <a:gd name="connsiteY5" fmla="*/ 4179759 h 7092000"/>
                            <a:gd name="connsiteX6" fmla="*/ 4221661 w 7560584"/>
                            <a:gd name="connsiteY6" fmla="*/ 2388978 h 7092000"/>
                            <a:gd name="connsiteX7" fmla="*/ 4362638 w 7560584"/>
                            <a:gd name="connsiteY7" fmla="*/ 1832857 h 7092000"/>
                            <a:gd name="connsiteX8" fmla="*/ 4370258 w 7560584"/>
                            <a:gd name="connsiteY8" fmla="*/ 1520395 h 7092000"/>
                            <a:gd name="connsiteX9" fmla="*/ 4541715 w 7560584"/>
                            <a:gd name="connsiteY9" fmla="*/ 1085996 h 7092000"/>
                            <a:gd name="connsiteX10" fmla="*/ 0 w 7560584"/>
                            <a:gd name="connsiteY10" fmla="*/ 0 h 7092000"/>
                            <a:gd name="connsiteX11" fmla="*/ 4309295 w 7560584"/>
                            <a:gd name="connsiteY11" fmla="*/ 1188774 h 7092000"/>
                            <a:gd name="connsiteX12" fmla="*/ 3958760 w 7560584"/>
                            <a:gd name="connsiteY12" fmla="*/ 1634564 h 7092000"/>
                            <a:gd name="connsiteX13" fmla="*/ 542413 w 7560584"/>
                            <a:gd name="connsiteY13" fmla="*/ 6318621 h 7092000"/>
                            <a:gd name="connsiteX14" fmla="*/ 884876 w 7560584"/>
                            <a:gd name="connsiteY14" fmla="*/ 7085695 h 7092000"/>
                            <a:gd name="connsiteX15" fmla="*/ 976028 w 7560584"/>
                            <a:gd name="connsiteY15" fmla="*/ 7092000 h 7092000"/>
                            <a:gd name="connsiteX16" fmla="*/ 0 w 7560584"/>
                            <a:gd name="connsiteY16" fmla="*/ 7092000 h 7092000"/>
                            <a:gd name="connsiteX17" fmla="*/ 0 w 7560584"/>
                            <a:gd name="connsiteY17" fmla="*/ 0 h 7092000"/>
                            <a:gd name="connsiteX0" fmla="*/ 4541715 w 7560584"/>
                            <a:gd name="connsiteY0" fmla="*/ 1085996 h 7092000"/>
                            <a:gd name="connsiteX1" fmla="*/ 7560584 w 7560584"/>
                            <a:gd name="connsiteY1" fmla="*/ 1917907 h 7092000"/>
                            <a:gd name="connsiteX2" fmla="*/ 7560000 w 7560584"/>
                            <a:gd name="connsiteY2" fmla="*/ 7092000 h 7092000"/>
                            <a:gd name="connsiteX3" fmla="*/ 1097327 w 7560584"/>
                            <a:gd name="connsiteY3" fmla="*/ 7083110 h 7092000"/>
                            <a:gd name="connsiteX4" fmla="*/ 2198465 w 7560584"/>
                            <a:gd name="connsiteY4" fmla="*/ 5002756 h 7092000"/>
                            <a:gd name="connsiteX5" fmla="*/ 2865243 w 7560584"/>
                            <a:gd name="connsiteY5" fmla="*/ 4179759 h 7092000"/>
                            <a:gd name="connsiteX6" fmla="*/ 4221661 w 7560584"/>
                            <a:gd name="connsiteY6" fmla="*/ 2388978 h 7092000"/>
                            <a:gd name="connsiteX7" fmla="*/ 4362638 w 7560584"/>
                            <a:gd name="connsiteY7" fmla="*/ 1832857 h 7092000"/>
                            <a:gd name="connsiteX8" fmla="*/ 4370258 w 7560584"/>
                            <a:gd name="connsiteY8" fmla="*/ 1520395 h 7092000"/>
                            <a:gd name="connsiteX9" fmla="*/ 4541715 w 7560584"/>
                            <a:gd name="connsiteY9" fmla="*/ 1085996 h 7092000"/>
                            <a:gd name="connsiteX10" fmla="*/ 0 w 7560584"/>
                            <a:gd name="connsiteY10" fmla="*/ 0 h 7092000"/>
                            <a:gd name="connsiteX11" fmla="*/ 4470887 w 7560584"/>
                            <a:gd name="connsiteY11" fmla="*/ 1064352 h 7092000"/>
                            <a:gd name="connsiteX12" fmla="*/ 3958760 w 7560584"/>
                            <a:gd name="connsiteY12" fmla="*/ 1634564 h 7092000"/>
                            <a:gd name="connsiteX13" fmla="*/ 542413 w 7560584"/>
                            <a:gd name="connsiteY13" fmla="*/ 6318621 h 7092000"/>
                            <a:gd name="connsiteX14" fmla="*/ 884876 w 7560584"/>
                            <a:gd name="connsiteY14" fmla="*/ 7085695 h 7092000"/>
                            <a:gd name="connsiteX15" fmla="*/ 976028 w 7560584"/>
                            <a:gd name="connsiteY15" fmla="*/ 7092000 h 7092000"/>
                            <a:gd name="connsiteX16" fmla="*/ 0 w 7560584"/>
                            <a:gd name="connsiteY16" fmla="*/ 7092000 h 7092000"/>
                            <a:gd name="connsiteX17" fmla="*/ 0 w 7560584"/>
                            <a:gd name="connsiteY17" fmla="*/ 0 h 7092000"/>
                            <a:gd name="connsiteX0" fmla="*/ 4541715 w 7560584"/>
                            <a:gd name="connsiteY0" fmla="*/ 1085996 h 7092000"/>
                            <a:gd name="connsiteX1" fmla="*/ 7560584 w 7560584"/>
                            <a:gd name="connsiteY1" fmla="*/ 1917907 h 7092000"/>
                            <a:gd name="connsiteX2" fmla="*/ 7560000 w 7560584"/>
                            <a:gd name="connsiteY2" fmla="*/ 7092000 h 7092000"/>
                            <a:gd name="connsiteX3" fmla="*/ 1097327 w 7560584"/>
                            <a:gd name="connsiteY3" fmla="*/ 7083110 h 7092000"/>
                            <a:gd name="connsiteX4" fmla="*/ 2198465 w 7560584"/>
                            <a:gd name="connsiteY4" fmla="*/ 5002756 h 7092000"/>
                            <a:gd name="connsiteX5" fmla="*/ 2865243 w 7560584"/>
                            <a:gd name="connsiteY5" fmla="*/ 4179759 h 7092000"/>
                            <a:gd name="connsiteX6" fmla="*/ 4221661 w 7560584"/>
                            <a:gd name="connsiteY6" fmla="*/ 2388978 h 7092000"/>
                            <a:gd name="connsiteX7" fmla="*/ 4362638 w 7560584"/>
                            <a:gd name="connsiteY7" fmla="*/ 1832857 h 7092000"/>
                            <a:gd name="connsiteX8" fmla="*/ 4370258 w 7560584"/>
                            <a:gd name="connsiteY8" fmla="*/ 1520395 h 7092000"/>
                            <a:gd name="connsiteX9" fmla="*/ 4541715 w 7560584"/>
                            <a:gd name="connsiteY9" fmla="*/ 1085996 h 7092000"/>
                            <a:gd name="connsiteX10" fmla="*/ 0 w 7560584"/>
                            <a:gd name="connsiteY10" fmla="*/ 0 h 7092000"/>
                            <a:gd name="connsiteX11" fmla="*/ 4470887 w 7560584"/>
                            <a:gd name="connsiteY11" fmla="*/ 1064352 h 7092000"/>
                            <a:gd name="connsiteX12" fmla="*/ 3958760 w 7560584"/>
                            <a:gd name="connsiteY12" fmla="*/ 1634564 h 7092000"/>
                            <a:gd name="connsiteX13" fmla="*/ 1136736 w 7560584"/>
                            <a:gd name="connsiteY13" fmla="*/ 6261892 h 7092000"/>
                            <a:gd name="connsiteX14" fmla="*/ 884876 w 7560584"/>
                            <a:gd name="connsiteY14" fmla="*/ 7085695 h 7092000"/>
                            <a:gd name="connsiteX15" fmla="*/ 976028 w 7560584"/>
                            <a:gd name="connsiteY15" fmla="*/ 7092000 h 7092000"/>
                            <a:gd name="connsiteX16" fmla="*/ 0 w 7560584"/>
                            <a:gd name="connsiteY16" fmla="*/ 7092000 h 7092000"/>
                            <a:gd name="connsiteX17" fmla="*/ 0 w 7560584"/>
                            <a:gd name="connsiteY17" fmla="*/ 0 h 7092000"/>
                            <a:gd name="connsiteX0" fmla="*/ 4541715 w 7560584"/>
                            <a:gd name="connsiteY0" fmla="*/ 1085996 h 7092000"/>
                            <a:gd name="connsiteX1" fmla="*/ 7560584 w 7560584"/>
                            <a:gd name="connsiteY1" fmla="*/ 1917907 h 7092000"/>
                            <a:gd name="connsiteX2" fmla="*/ 7560000 w 7560584"/>
                            <a:gd name="connsiteY2" fmla="*/ 7092000 h 7092000"/>
                            <a:gd name="connsiteX3" fmla="*/ 1097327 w 7560584"/>
                            <a:gd name="connsiteY3" fmla="*/ 7083110 h 7092000"/>
                            <a:gd name="connsiteX4" fmla="*/ 2198465 w 7560584"/>
                            <a:gd name="connsiteY4" fmla="*/ 5002756 h 7092000"/>
                            <a:gd name="connsiteX5" fmla="*/ 2865243 w 7560584"/>
                            <a:gd name="connsiteY5" fmla="*/ 4179759 h 7092000"/>
                            <a:gd name="connsiteX6" fmla="*/ 4221661 w 7560584"/>
                            <a:gd name="connsiteY6" fmla="*/ 2388978 h 7092000"/>
                            <a:gd name="connsiteX7" fmla="*/ 4362638 w 7560584"/>
                            <a:gd name="connsiteY7" fmla="*/ 1832857 h 7092000"/>
                            <a:gd name="connsiteX8" fmla="*/ 4370258 w 7560584"/>
                            <a:gd name="connsiteY8" fmla="*/ 1520395 h 7092000"/>
                            <a:gd name="connsiteX9" fmla="*/ 4541715 w 7560584"/>
                            <a:gd name="connsiteY9" fmla="*/ 1085996 h 7092000"/>
                            <a:gd name="connsiteX10" fmla="*/ 0 w 7560584"/>
                            <a:gd name="connsiteY10" fmla="*/ 0 h 7092000"/>
                            <a:gd name="connsiteX11" fmla="*/ 4470887 w 7560584"/>
                            <a:gd name="connsiteY11" fmla="*/ 1064352 h 7092000"/>
                            <a:gd name="connsiteX12" fmla="*/ 3958760 w 7560584"/>
                            <a:gd name="connsiteY12" fmla="*/ 1634564 h 7092000"/>
                            <a:gd name="connsiteX13" fmla="*/ 2923841 w 7560584"/>
                            <a:gd name="connsiteY13" fmla="*/ 6292376 h 7092000"/>
                            <a:gd name="connsiteX14" fmla="*/ 884876 w 7560584"/>
                            <a:gd name="connsiteY14" fmla="*/ 7085695 h 7092000"/>
                            <a:gd name="connsiteX15" fmla="*/ 976028 w 7560584"/>
                            <a:gd name="connsiteY15" fmla="*/ 7092000 h 7092000"/>
                            <a:gd name="connsiteX16" fmla="*/ 0 w 7560584"/>
                            <a:gd name="connsiteY16" fmla="*/ 7092000 h 7092000"/>
                            <a:gd name="connsiteX17" fmla="*/ 0 w 7560584"/>
                            <a:gd name="connsiteY17" fmla="*/ 0 h 7092000"/>
                            <a:gd name="connsiteX0" fmla="*/ 4541715 w 7560584"/>
                            <a:gd name="connsiteY0" fmla="*/ 1085996 h 7092000"/>
                            <a:gd name="connsiteX1" fmla="*/ 7560584 w 7560584"/>
                            <a:gd name="connsiteY1" fmla="*/ 1917907 h 7092000"/>
                            <a:gd name="connsiteX2" fmla="*/ 7560000 w 7560584"/>
                            <a:gd name="connsiteY2" fmla="*/ 7092000 h 7092000"/>
                            <a:gd name="connsiteX3" fmla="*/ 1097327 w 7560584"/>
                            <a:gd name="connsiteY3" fmla="*/ 7083110 h 7092000"/>
                            <a:gd name="connsiteX4" fmla="*/ 2198465 w 7560584"/>
                            <a:gd name="connsiteY4" fmla="*/ 5002756 h 7092000"/>
                            <a:gd name="connsiteX5" fmla="*/ 2865243 w 7560584"/>
                            <a:gd name="connsiteY5" fmla="*/ 4179759 h 7092000"/>
                            <a:gd name="connsiteX6" fmla="*/ 4221661 w 7560584"/>
                            <a:gd name="connsiteY6" fmla="*/ 2388978 h 7092000"/>
                            <a:gd name="connsiteX7" fmla="*/ 4362638 w 7560584"/>
                            <a:gd name="connsiteY7" fmla="*/ 1832857 h 7092000"/>
                            <a:gd name="connsiteX8" fmla="*/ 4370258 w 7560584"/>
                            <a:gd name="connsiteY8" fmla="*/ 1520395 h 7092000"/>
                            <a:gd name="connsiteX9" fmla="*/ 4541715 w 7560584"/>
                            <a:gd name="connsiteY9" fmla="*/ 1085996 h 7092000"/>
                            <a:gd name="connsiteX10" fmla="*/ 0 w 7560584"/>
                            <a:gd name="connsiteY10" fmla="*/ 0 h 7092000"/>
                            <a:gd name="connsiteX11" fmla="*/ 4470887 w 7560584"/>
                            <a:gd name="connsiteY11" fmla="*/ 1064352 h 7092000"/>
                            <a:gd name="connsiteX12" fmla="*/ 3958760 w 7560584"/>
                            <a:gd name="connsiteY12" fmla="*/ 1634564 h 7092000"/>
                            <a:gd name="connsiteX13" fmla="*/ 884876 w 7560584"/>
                            <a:gd name="connsiteY13" fmla="*/ 7085695 h 7092000"/>
                            <a:gd name="connsiteX14" fmla="*/ 976028 w 7560584"/>
                            <a:gd name="connsiteY14" fmla="*/ 7092000 h 7092000"/>
                            <a:gd name="connsiteX15" fmla="*/ 0 w 7560584"/>
                            <a:gd name="connsiteY15" fmla="*/ 7092000 h 7092000"/>
                            <a:gd name="connsiteX16" fmla="*/ 0 w 7560584"/>
                            <a:gd name="connsiteY16" fmla="*/ 0 h 7092000"/>
                            <a:gd name="connsiteX0" fmla="*/ 4541715 w 7560584"/>
                            <a:gd name="connsiteY0" fmla="*/ 1085996 h 7092000"/>
                            <a:gd name="connsiteX1" fmla="*/ 7560584 w 7560584"/>
                            <a:gd name="connsiteY1" fmla="*/ 1917907 h 7092000"/>
                            <a:gd name="connsiteX2" fmla="*/ 7560000 w 7560584"/>
                            <a:gd name="connsiteY2" fmla="*/ 7092000 h 7092000"/>
                            <a:gd name="connsiteX3" fmla="*/ 1097327 w 7560584"/>
                            <a:gd name="connsiteY3" fmla="*/ 7083110 h 7092000"/>
                            <a:gd name="connsiteX4" fmla="*/ 2865243 w 7560584"/>
                            <a:gd name="connsiteY4" fmla="*/ 4179759 h 7092000"/>
                            <a:gd name="connsiteX5" fmla="*/ 4221661 w 7560584"/>
                            <a:gd name="connsiteY5" fmla="*/ 2388978 h 7092000"/>
                            <a:gd name="connsiteX6" fmla="*/ 4362638 w 7560584"/>
                            <a:gd name="connsiteY6" fmla="*/ 1832857 h 7092000"/>
                            <a:gd name="connsiteX7" fmla="*/ 4370258 w 7560584"/>
                            <a:gd name="connsiteY7" fmla="*/ 1520395 h 7092000"/>
                            <a:gd name="connsiteX8" fmla="*/ 4541715 w 7560584"/>
                            <a:gd name="connsiteY8" fmla="*/ 1085996 h 7092000"/>
                            <a:gd name="connsiteX9" fmla="*/ 0 w 7560584"/>
                            <a:gd name="connsiteY9" fmla="*/ 0 h 7092000"/>
                            <a:gd name="connsiteX10" fmla="*/ 4470887 w 7560584"/>
                            <a:gd name="connsiteY10" fmla="*/ 1064352 h 7092000"/>
                            <a:gd name="connsiteX11" fmla="*/ 3958760 w 7560584"/>
                            <a:gd name="connsiteY11" fmla="*/ 1634564 h 7092000"/>
                            <a:gd name="connsiteX12" fmla="*/ 884876 w 7560584"/>
                            <a:gd name="connsiteY12" fmla="*/ 7085695 h 7092000"/>
                            <a:gd name="connsiteX13" fmla="*/ 976028 w 7560584"/>
                            <a:gd name="connsiteY13" fmla="*/ 7092000 h 7092000"/>
                            <a:gd name="connsiteX14" fmla="*/ 0 w 7560584"/>
                            <a:gd name="connsiteY14" fmla="*/ 7092000 h 7092000"/>
                            <a:gd name="connsiteX15" fmla="*/ 0 w 7560584"/>
                            <a:gd name="connsiteY15" fmla="*/ 0 h 7092000"/>
                            <a:gd name="connsiteX0" fmla="*/ 4541715 w 7560584"/>
                            <a:gd name="connsiteY0" fmla="*/ 1085996 h 7092000"/>
                            <a:gd name="connsiteX1" fmla="*/ 7560584 w 7560584"/>
                            <a:gd name="connsiteY1" fmla="*/ 1917907 h 7092000"/>
                            <a:gd name="connsiteX2" fmla="*/ 7560000 w 7560584"/>
                            <a:gd name="connsiteY2" fmla="*/ 7092000 h 7092000"/>
                            <a:gd name="connsiteX3" fmla="*/ 1097327 w 7560584"/>
                            <a:gd name="connsiteY3" fmla="*/ 7083110 h 7092000"/>
                            <a:gd name="connsiteX4" fmla="*/ 4221661 w 7560584"/>
                            <a:gd name="connsiteY4" fmla="*/ 2388978 h 7092000"/>
                            <a:gd name="connsiteX5" fmla="*/ 4362638 w 7560584"/>
                            <a:gd name="connsiteY5" fmla="*/ 1832857 h 7092000"/>
                            <a:gd name="connsiteX6" fmla="*/ 4370258 w 7560584"/>
                            <a:gd name="connsiteY6" fmla="*/ 1520395 h 7092000"/>
                            <a:gd name="connsiteX7" fmla="*/ 4541715 w 7560584"/>
                            <a:gd name="connsiteY7" fmla="*/ 1085996 h 7092000"/>
                            <a:gd name="connsiteX8" fmla="*/ 0 w 7560584"/>
                            <a:gd name="connsiteY8" fmla="*/ 0 h 7092000"/>
                            <a:gd name="connsiteX9" fmla="*/ 4470887 w 7560584"/>
                            <a:gd name="connsiteY9" fmla="*/ 1064352 h 7092000"/>
                            <a:gd name="connsiteX10" fmla="*/ 3958760 w 7560584"/>
                            <a:gd name="connsiteY10" fmla="*/ 1634564 h 7092000"/>
                            <a:gd name="connsiteX11" fmla="*/ 884876 w 7560584"/>
                            <a:gd name="connsiteY11" fmla="*/ 7085695 h 7092000"/>
                            <a:gd name="connsiteX12" fmla="*/ 976028 w 7560584"/>
                            <a:gd name="connsiteY12" fmla="*/ 7092000 h 7092000"/>
                            <a:gd name="connsiteX13" fmla="*/ 0 w 7560584"/>
                            <a:gd name="connsiteY13" fmla="*/ 7092000 h 7092000"/>
                            <a:gd name="connsiteX14" fmla="*/ 0 w 7560584"/>
                            <a:gd name="connsiteY14" fmla="*/ 0 h 7092000"/>
                            <a:gd name="connsiteX0" fmla="*/ 4541715 w 7560584"/>
                            <a:gd name="connsiteY0" fmla="*/ 1085996 h 7092000"/>
                            <a:gd name="connsiteX1" fmla="*/ 7560584 w 7560584"/>
                            <a:gd name="connsiteY1" fmla="*/ 1917907 h 7092000"/>
                            <a:gd name="connsiteX2" fmla="*/ 7560000 w 7560584"/>
                            <a:gd name="connsiteY2" fmla="*/ 7092000 h 7092000"/>
                            <a:gd name="connsiteX3" fmla="*/ 2611383 w 7560584"/>
                            <a:gd name="connsiteY3" fmla="*/ 5297832 h 7092000"/>
                            <a:gd name="connsiteX4" fmla="*/ 4221661 w 7560584"/>
                            <a:gd name="connsiteY4" fmla="*/ 2388978 h 7092000"/>
                            <a:gd name="connsiteX5" fmla="*/ 4362638 w 7560584"/>
                            <a:gd name="connsiteY5" fmla="*/ 1832857 h 7092000"/>
                            <a:gd name="connsiteX6" fmla="*/ 4370258 w 7560584"/>
                            <a:gd name="connsiteY6" fmla="*/ 1520395 h 7092000"/>
                            <a:gd name="connsiteX7" fmla="*/ 4541715 w 7560584"/>
                            <a:gd name="connsiteY7" fmla="*/ 1085996 h 7092000"/>
                            <a:gd name="connsiteX8" fmla="*/ 0 w 7560584"/>
                            <a:gd name="connsiteY8" fmla="*/ 0 h 7092000"/>
                            <a:gd name="connsiteX9" fmla="*/ 4470887 w 7560584"/>
                            <a:gd name="connsiteY9" fmla="*/ 1064352 h 7092000"/>
                            <a:gd name="connsiteX10" fmla="*/ 3958760 w 7560584"/>
                            <a:gd name="connsiteY10" fmla="*/ 1634564 h 7092000"/>
                            <a:gd name="connsiteX11" fmla="*/ 884876 w 7560584"/>
                            <a:gd name="connsiteY11" fmla="*/ 7085695 h 7092000"/>
                            <a:gd name="connsiteX12" fmla="*/ 976028 w 7560584"/>
                            <a:gd name="connsiteY12" fmla="*/ 7092000 h 7092000"/>
                            <a:gd name="connsiteX13" fmla="*/ 0 w 7560584"/>
                            <a:gd name="connsiteY13" fmla="*/ 7092000 h 7092000"/>
                            <a:gd name="connsiteX14" fmla="*/ 0 w 7560584"/>
                            <a:gd name="connsiteY14" fmla="*/ 0 h 7092000"/>
                            <a:gd name="connsiteX0" fmla="*/ 4541715 w 7560584"/>
                            <a:gd name="connsiteY0" fmla="*/ 1085996 h 7092000"/>
                            <a:gd name="connsiteX1" fmla="*/ 7560584 w 7560584"/>
                            <a:gd name="connsiteY1" fmla="*/ 1917907 h 7092000"/>
                            <a:gd name="connsiteX2" fmla="*/ 7560000 w 7560584"/>
                            <a:gd name="connsiteY2" fmla="*/ 7092000 h 7092000"/>
                            <a:gd name="connsiteX3" fmla="*/ 2005520 w 7560584"/>
                            <a:gd name="connsiteY3" fmla="*/ 6307618 h 7092000"/>
                            <a:gd name="connsiteX4" fmla="*/ 4221661 w 7560584"/>
                            <a:gd name="connsiteY4" fmla="*/ 2388978 h 7092000"/>
                            <a:gd name="connsiteX5" fmla="*/ 4362638 w 7560584"/>
                            <a:gd name="connsiteY5" fmla="*/ 1832857 h 7092000"/>
                            <a:gd name="connsiteX6" fmla="*/ 4370258 w 7560584"/>
                            <a:gd name="connsiteY6" fmla="*/ 1520395 h 7092000"/>
                            <a:gd name="connsiteX7" fmla="*/ 4541715 w 7560584"/>
                            <a:gd name="connsiteY7" fmla="*/ 1085996 h 7092000"/>
                            <a:gd name="connsiteX8" fmla="*/ 0 w 7560584"/>
                            <a:gd name="connsiteY8" fmla="*/ 0 h 7092000"/>
                            <a:gd name="connsiteX9" fmla="*/ 4470887 w 7560584"/>
                            <a:gd name="connsiteY9" fmla="*/ 1064352 h 7092000"/>
                            <a:gd name="connsiteX10" fmla="*/ 3958760 w 7560584"/>
                            <a:gd name="connsiteY10" fmla="*/ 1634564 h 7092000"/>
                            <a:gd name="connsiteX11" fmla="*/ 884876 w 7560584"/>
                            <a:gd name="connsiteY11" fmla="*/ 7085695 h 7092000"/>
                            <a:gd name="connsiteX12" fmla="*/ 976028 w 7560584"/>
                            <a:gd name="connsiteY12" fmla="*/ 7092000 h 7092000"/>
                            <a:gd name="connsiteX13" fmla="*/ 0 w 7560584"/>
                            <a:gd name="connsiteY13" fmla="*/ 7092000 h 7092000"/>
                            <a:gd name="connsiteX14" fmla="*/ 0 w 7560584"/>
                            <a:gd name="connsiteY14" fmla="*/ 0 h 7092000"/>
                            <a:gd name="connsiteX0" fmla="*/ 4541715 w 7560584"/>
                            <a:gd name="connsiteY0" fmla="*/ 1085996 h 7092000"/>
                            <a:gd name="connsiteX1" fmla="*/ 7560584 w 7560584"/>
                            <a:gd name="connsiteY1" fmla="*/ 1917907 h 7092000"/>
                            <a:gd name="connsiteX2" fmla="*/ 7560000 w 7560584"/>
                            <a:gd name="connsiteY2" fmla="*/ 7092000 h 7092000"/>
                            <a:gd name="connsiteX3" fmla="*/ 2005520 w 7560584"/>
                            <a:gd name="connsiteY3" fmla="*/ 6307618 h 7092000"/>
                            <a:gd name="connsiteX4" fmla="*/ 4221661 w 7560584"/>
                            <a:gd name="connsiteY4" fmla="*/ 2388978 h 7092000"/>
                            <a:gd name="connsiteX5" fmla="*/ 4362638 w 7560584"/>
                            <a:gd name="connsiteY5" fmla="*/ 1832857 h 7092000"/>
                            <a:gd name="connsiteX6" fmla="*/ 4370258 w 7560584"/>
                            <a:gd name="connsiteY6" fmla="*/ 1520395 h 7092000"/>
                            <a:gd name="connsiteX7" fmla="*/ 4541715 w 7560584"/>
                            <a:gd name="connsiteY7" fmla="*/ 1085996 h 7092000"/>
                            <a:gd name="connsiteX8" fmla="*/ 0 w 7560584"/>
                            <a:gd name="connsiteY8" fmla="*/ 0 h 7092000"/>
                            <a:gd name="connsiteX9" fmla="*/ 3986958 w 7560584"/>
                            <a:gd name="connsiteY9" fmla="*/ 2257043 h 7092000"/>
                            <a:gd name="connsiteX10" fmla="*/ 3958760 w 7560584"/>
                            <a:gd name="connsiteY10" fmla="*/ 1634564 h 7092000"/>
                            <a:gd name="connsiteX11" fmla="*/ 884876 w 7560584"/>
                            <a:gd name="connsiteY11" fmla="*/ 7085695 h 7092000"/>
                            <a:gd name="connsiteX12" fmla="*/ 976028 w 7560584"/>
                            <a:gd name="connsiteY12" fmla="*/ 7092000 h 7092000"/>
                            <a:gd name="connsiteX13" fmla="*/ 0 w 7560584"/>
                            <a:gd name="connsiteY13" fmla="*/ 7092000 h 7092000"/>
                            <a:gd name="connsiteX14" fmla="*/ 0 w 7560584"/>
                            <a:gd name="connsiteY14" fmla="*/ 0 h 7092000"/>
                            <a:gd name="connsiteX0" fmla="*/ 4541715 w 7560584"/>
                            <a:gd name="connsiteY0" fmla="*/ 1085996 h 7092000"/>
                            <a:gd name="connsiteX1" fmla="*/ 7560584 w 7560584"/>
                            <a:gd name="connsiteY1" fmla="*/ 1917907 h 7092000"/>
                            <a:gd name="connsiteX2" fmla="*/ 7560000 w 7560584"/>
                            <a:gd name="connsiteY2" fmla="*/ 7092000 h 7092000"/>
                            <a:gd name="connsiteX3" fmla="*/ 2005520 w 7560584"/>
                            <a:gd name="connsiteY3" fmla="*/ 6307618 h 7092000"/>
                            <a:gd name="connsiteX4" fmla="*/ 4221661 w 7560584"/>
                            <a:gd name="connsiteY4" fmla="*/ 2388978 h 7092000"/>
                            <a:gd name="connsiteX5" fmla="*/ 4362638 w 7560584"/>
                            <a:gd name="connsiteY5" fmla="*/ 1832857 h 7092000"/>
                            <a:gd name="connsiteX6" fmla="*/ 4370258 w 7560584"/>
                            <a:gd name="connsiteY6" fmla="*/ 1520395 h 7092000"/>
                            <a:gd name="connsiteX7" fmla="*/ 4541715 w 7560584"/>
                            <a:gd name="connsiteY7" fmla="*/ 1085996 h 7092000"/>
                            <a:gd name="connsiteX8" fmla="*/ 0 w 7560584"/>
                            <a:gd name="connsiteY8" fmla="*/ 0 h 7092000"/>
                            <a:gd name="connsiteX9" fmla="*/ 3964096 w 7560584"/>
                            <a:gd name="connsiteY9" fmla="*/ 1327278 h 7092000"/>
                            <a:gd name="connsiteX10" fmla="*/ 3958760 w 7560584"/>
                            <a:gd name="connsiteY10" fmla="*/ 1634564 h 7092000"/>
                            <a:gd name="connsiteX11" fmla="*/ 884876 w 7560584"/>
                            <a:gd name="connsiteY11" fmla="*/ 7085695 h 7092000"/>
                            <a:gd name="connsiteX12" fmla="*/ 976028 w 7560584"/>
                            <a:gd name="connsiteY12" fmla="*/ 7092000 h 7092000"/>
                            <a:gd name="connsiteX13" fmla="*/ 0 w 7560584"/>
                            <a:gd name="connsiteY13" fmla="*/ 7092000 h 7092000"/>
                            <a:gd name="connsiteX14" fmla="*/ 0 w 7560584"/>
                            <a:gd name="connsiteY14" fmla="*/ 0 h 7092000"/>
                            <a:gd name="connsiteX0" fmla="*/ 5633076 w 7560584"/>
                            <a:gd name="connsiteY0" fmla="*/ 3537375 h 7092000"/>
                            <a:gd name="connsiteX1" fmla="*/ 7560584 w 7560584"/>
                            <a:gd name="connsiteY1" fmla="*/ 1917907 h 7092000"/>
                            <a:gd name="connsiteX2" fmla="*/ 7560000 w 7560584"/>
                            <a:gd name="connsiteY2" fmla="*/ 7092000 h 7092000"/>
                            <a:gd name="connsiteX3" fmla="*/ 2005520 w 7560584"/>
                            <a:gd name="connsiteY3" fmla="*/ 6307618 h 7092000"/>
                            <a:gd name="connsiteX4" fmla="*/ 4221661 w 7560584"/>
                            <a:gd name="connsiteY4" fmla="*/ 2388978 h 7092000"/>
                            <a:gd name="connsiteX5" fmla="*/ 4362638 w 7560584"/>
                            <a:gd name="connsiteY5" fmla="*/ 1832857 h 7092000"/>
                            <a:gd name="connsiteX6" fmla="*/ 4370258 w 7560584"/>
                            <a:gd name="connsiteY6" fmla="*/ 1520395 h 7092000"/>
                            <a:gd name="connsiteX7" fmla="*/ 5633076 w 7560584"/>
                            <a:gd name="connsiteY7" fmla="*/ 3537375 h 7092000"/>
                            <a:gd name="connsiteX8" fmla="*/ 0 w 7560584"/>
                            <a:gd name="connsiteY8" fmla="*/ 0 h 7092000"/>
                            <a:gd name="connsiteX9" fmla="*/ 3964096 w 7560584"/>
                            <a:gd name="connsiteY9" fmla="*/ 1327278 h 7092000"/>
                            <a:gd name="connsiteX10" fmla="*/ 3958760 w 7560584"/>
                            <a:gd name="connsiteY10" fmla="*/ 1634564 h 7092000"/>
                            <a:gd name="connsiteX11" fmla="*/ 884876 w 7560584"/>
                            <a:gd name="connsiteY11" fmla="*/ 7085695 h 7092000"/>
                            <a:gd name="connsiteX12" fmla="*/ 976028 w 7560584"/>
                            <a:gd name="connsiteY12" fmla="*/ 7092000 h 7092000"/>
                            <a:gd name="connsiteX13" fmla="*/ 0 w 7560584"/>
                            <a:gd name="connsiteY13" fmla="*/ 7092000 h 7092000"/>
                            <a:gd name="connsiteX14" fmla="*/ 0 w 7560584"/>
                            <a:gd name="connsiteY14" fmla="*/ 0 h 7092000"/>
                            <a:gd name="connsiteX0" fmla="*/ 5823599 w 7560584"/>
                            <a:gd name="connsiteY0" fmla="*/ 1590203 h 7092000"/>
                            <a:gd name="connsiteX1" fmla="*/ 7560584 w 7560584"/>
                            <a:gd name="connsiteY1" fmla="*/ 1917907 h 7092000"/>
                            <a:gd name="connsiteX2" fmla="*/ 7560000 w 7560584"/>
                            <a:gd name="connsiteY2" fmla="*/ 7092000 h 7092000"/>
                            <a:gd name="connsiteX3" fmla="*/ 2005520 w 7560584"/>
                            <a:gd name="connsiteY3" fmla="*/ 6307618 h 7092000"/>
                            <a:gd name="connsiteX4" fmla="*/ 4221661 w 7560584"/>
                            <a:gd name="connsiteY4" fmla="*/ 2388978 h 7092000"/>
                            <a:gd name="connsiteX5" fmla="*/ 4362638 w 7560584"/>
                            <a:gd name="connsiteY5" fmla="*/ 1832857 h 7092000"/>
                            <a:gd name="connsiteX6" fmla="*/ 4370258 w 7560584"/>
                            <a:gd name="connsiteY6" fmla="*/ 1520395 h 7092000"/>
                            <a:gd name="connsiteX7" fmla="*/ 5823599 w 7560584"/>
                            <a:gd name="connsiteY7" fmla="*/ 1590203 h 7092000"/>
                            <a:gd name="connsiteX8" fmla="*/ 0 w 7560584"/>
                            <a:gd name="connsiteY8" fmla="*/ 0 h 7092000"/>
                            <a:gd name="connsiteX9" fmla="*/ 3964096 w 7560584"/>
                            <a:gd name="connsiteY9" fmla="*/ 1327278 h 7092000"/>
                            <a:gd name="connsiteX10" fmla="*/ 3958760 w 7560584"/>
                            <a:gd name="connsiteY10" fmla="*/ 1634564 h 7092000"/>
                            <a:gd name="connsiteX11" fmla="*/ 884876 w 7560584"/>
                            <a:gd name="connsiteY11" fmla="*/ 7085695 h 7092000"/>
                            <a:gd name="connsiteX12" fmla="*/ 976028 w 7560584"/>
                            <a:gd name="connsiteY12" fmla="*/ 7092000 h 7092000"/>
                            <a:gd name="connsiteX13" fmla="*/ 0 w 7560584"/>
                            <a:gd name="connsiteY13" fmla="*/ 7092000 h 7092000"/>
                            <a:gd name="connsiteX14" fmla="*/ 0 w 7560584"/>
                            <a:gd name="connsiteY14" fmla="*/ 0 h 7092000"/>
                            <a:gd name="connsiteX0" fmla="*/ 5823599 w 7560584"/>
                            <a:gd name="connsiteY0" fmla="*/ 1590203 h 7092000"/>
                            <a:gd name="connsiteX1" fmla="*/ 7560584 w 7560584"/>
                            <a:gd name="connsiteY1" fmla="*/ 1917907 h 7092000"/>
                            <a:gd name="connsiteX2" fmla="*/ 7560000 w 7560584"/>
                            <a:gd name="connsiteY2" fmla="*/ 7092000 h 7092000"/>
                            <a:gd name="connsiteX3" fmla="*/ 2005520 w 7560584"/>
                            <a:gd name="connsiteY3" fmla="*/ 6307618 h 7092000"/>
                            <a:gd name="connsiteX4" fmla="*/ 4221661 w 7560584"/>
                            <a:gd name="connsiteY4" fmla="*/ 2388978 h 7092000"/>
                            <a:gd name="connsiteX5" fmla="*/ 4362638 w 7560584"/>
                            <a:gd name="connsiteY5" fmla="*/ 1832857 h 7092000"/>
                            <a:gd name="connsiteX6" fmla="*/ 4370258 w 7560584"/>
                            <a:gd name="connsiteY6" fmla="*/ 1520395 h 7092000"/>
                            <a:gd name="connsiteX7" fmla="*/ 5823599 w 7560584"/>
                            <a:gd name="connsiteY7" fmla="*/ 1590203 h 7092000"/>
                            <a:gd name="connsiteX8" fmla="*/ 0 w 7560584"/>
                            <a:gd name="connsiteY8" fmla="*/ 0 h 7092000"/>
                            <a:gd name="connsiteX9" fmla="*/ 4383246 w 7560584"/>
                            <a:gd name="connsiteY9" fmla="*/ 1376814 h 7092000"/>
                            <a:gd name="connsiteX10" fmla="*/ 3958760 w 7560584"/>
                            <a:gd name="connsiteY10" fmla="*/ 1634564 h 7092000"/>
                            <a:gd name="connsiteX11" fmla="*/ 884876 w 7560584"/>
                            <a:gd name="connsiteY11" fmla="*/ 7085695 h 7092000"/>
                            <a:gd name="connsiteX12" fmla="*/ 976028 w 7560584"/>
                            <a:gd name="connsiteY12" fmla="*/ 7092000 h 7092000"/>
                            <a:gd name="connsiteX13" fmla="*/ 0 w 7560584"/>
                            <a:gd name="connsiteY13" fmla="*/ 7092000 h 7092000"/>
                            <a:gd name="connsiteX14" fmla="*/ 0 w 7560584"/>
                            <a:gd name="connsiteY14" fmla="*/ 0 h 7092000"/>
                            <a:gd name="connsiteX0" fmla="*/ 5823599 w 7560584"/>
                            <a:gd name="connsiteY0" fmla="*/ 1590203 h 7092000"/>
                            <a:gd name="connsiteX1" fmla="*/ 7560584 w 7560584"/>
                            <a:gd name="connsiteY1" fmla="*/ 1917907 h 7092000"/>
                            <a:gd name="connsiteX2" fmla="*/ 7560000 w 7560584"/>
                            <a:gd name="connsiteY2" fmla="*/ 7092000 h 7092000"/>
                            <a:gd name="connsiteX3" fmla="*/ 2005520 w 7560584"/>
                            <a:gd name="connsiteY3" fmla="*/ 6307618 h 7092000"/>
                            <a:gd name="connsiteX4" fmla="*/ 4221661 w 7560584"/>
                            <a:gd name="connsiteY4" fmla="*/ 2388978 h 7092000"/>
                            <a:gd name="connsiteX5" fmla="*/ 4362638 w 7560584"/>
                            <a:gd name="connsiteY5" fmla="*/ 1832857 h 7092000"/>
                            <a:gd name="connsiteX6" fmla="*/ 4370258 w 7560584"/>
                            <a:gd name="connsiteY6" fmla="*/ 1520395 h 7092000"/>
                            <a:gd name="connsiteX7" fmla="*/ 5823599 w 7560584"/>
                            <a:gd name="connsiteY7" fmla="*/ 1590203 h 7092000"/>
                            <a:gd name="connsiteX8" fmla="*/ 0 w 7560584"/>
                            <a:gd name="connsiteY8" fmla="*/ 0 h 7092000"/>
                            <a:gd name="connsiteX9" fmla="*/ 4383246 w 7560584"/>
                            <a:gd name="connsiteY9" fmla="*/ 1376814 h 7092000"/>
                            <a:gd name="connsiteX10" fmla="*/ 884876 w 7560584"/>
                            <a:gd name="connsiteY10" fmla="*/ 7085695 h 7092000"/>
                            <a:gd name="connsiteX11" fmla="*/ 976028 w 7560584"/>
                            <a:gd name="connsiteY11" fmla="*/ 7092000 h 7092000"/>
                            <a:gd name="connsiteX12" fmla="*/ 0 w 7560584"/>
                            <a:gd name="connsiteY12" fmla="*/ 7092000 h 7092000"/>
                            <a:gd name="connsiteX13" fmla="*/ 0 w 7560584"/>
                            <a:gd name="connsiteY13" fmla="*/ 0 h 7092000"/>
                            <a:gd name="connsiteX0" fmla="*/ 5823599 w 7560584"/>
                            <a:gd name="connsiteY0" fmla="*/ 1590203 h 7092000"/>
                            <a:gd name="connsiteX1" fmla="*/ 7560584 w 7560584"/>
                            <a:gd name="connsiteY1" fmla="*/ 1917907 h 7092000"/>
                            <a:gd name="connsiteX2" fmla="*/ 7560000 w 7560584"/>
                            <a:gd name="connsiteY2" fmla="*/ 7092000 h 7092000"/>
                            <a:gd name="connsiteX3" fmla="*/ 2005520 w 7560584"/>
                            <a:gd name="connsiteY3" fmla="*/ 6307618 h 7092000"/>
                            <a:gd name="connsiteX4" fmla="*/ 4221661 w 7560584"/>
                            <a:gd name="connsiteY4" fmla="*/ 2388978 h 7092000"/>
                            <a:gd name="connsiteX5" fmla="*/ 4362638 w 7560584"/>
                            <a:gd name="connsiteY5" fmla="*/ 1832857 h 7092000"/>
                            <a:gd name="connsiteX6" fmla="*/ 4370258 w 7560584"/>
                            <a:gd name="connsiteY6" fmla="*/ 1520395 h 7092000"/>
                            <a:gd name="connsiteX7" fmla="*/ 5823599 w 7560584"/>
                            <a:gd name="connsiteY7" fmla="*/ 1590203 h 7092000"/>
                            <a:gd name="connsiteX8" fmla="*/ 0 w 7560584"/>
                            <a:gd name="connsiteY8" fmla="*/ 0 h 7092000"/>
                            <a:gd name="connsiteX9" fmla="*/ 4383246 w 7560584"/>
                            <a:gd name="connsiteY9" fmla="*/ 1376814 h 7092000"/>
                            <a:gd name="connsiteX10" fmla="*/ 976028 w 7560584"/>
                            <a:gd name="connsiteY10" fmla="*/ 7092000 h 7092000"/>
                            <a:gd name="connsiteX11" fmla="*/ 0 w 7560584"/>
                            <a:gd name="connsiteY11" fmla="*/ 7092000 h 7092000"/>
                            <a:gd name="connsiteX12" fmla="*/ 0 w 7560584"/>
                            <a:gd name="connsiteY12" fmla="*/ 0 h 7092000"/>
                            <a:gd name="connsiteX0" fmla="*/ 5823599 w 7560584"/>
                            <a:gd name="connsiteY0" fmla="*/ 1590203 h 7092000"/>
                            <a:gd name="connsiteX1" fmla="*/ 7560584 w 7560584"/>
                            <a:gd name="connsiteY1" fmla="*/ 1917907 h 7092000"/>
                            <a:gd name="connsiteX2" fmla="*/ 7560000 w 7560584"/>
                            <a:gd name="connsiteY2" fmla="*/ 7092000 h 7092000"/>
                            <a:gd name="connsiteX3" fmla="*/ 4221661 w 7560584"/>
                            <a:gd name="connsiteY3" fmla="*/ 2388978 h 7092000"/>
                            <a:gd name="connsiteX4" fmla="*/ 4362638 w 7560584"/>
                            <a:gd name="connsiteY4" fmla="*/ 1832857 h 7092000"/>
                            <a:gd name="connsiteX5" fmla="*/ 4370258 w 7560584"/>
                            <a:gd name="connsiteY5" fmla="*/ 1520395 h 7092000"/>
                            <a:gd name="connsiteX6" fmla="*/ 5823599 w 7560584"/>
                            <a:gd name="connsiteY6" fmla="*/ 1590203 h 7092000"/>
                            <a:gd name="connsiteX7" fmla="*/ 0 w 7560584"/>
                            <a:gd name="connsiteY7" fmla="*/ 0 h 7092000"/>
                            <a:gd name="connsiteX8" fmla="*/ 4383246 w 7560584"/>
                            <a:gd name="connsiteY8" fmla="*/ 1376814 h 7092000"/>
                            <a:gd name="connsiteX9" fmla="*/ 976028 w 7560584"/>
                            <a:gd name="connsiteY9" fmla="*/ 7092000 h 7092000"/>
                            <a:gd name="connsiteX10" fmla="*/ 0 w 7560584"/>
                            <a:gd name="connsiteY10" fmla="*/ 7092000 h 7092000"/>
                            <a:gd name="connsiteX11" fmla="*/ 0 w 7560584"/>
                            <a:gd name="connsiteY11" fmla="*/ 0 h 7092000"/>
                            <a:gd name="connsiteX0" fmla="*/ 5823599 w 7560584"/>
                            <a:gd name="connsiteY0" fmla="*/ 1590203 h 7092000"/>
                            <a:gd name="connsiteX1" fmla="*/ 7560584 w 7560584"/>
                            <a:gd name="connsiteY1" fmla="*/ 1917907 h 7092000"/>
                            <a:gd name="connsiteX2" fmla="*/ 7560000 w 7560584"/>
                            <a:gd name="connsiteY2" fmla="*/ 7092000 h 7092000"/>
                            <a:gd name="connsiteX3" fmla="*/ 4362638 w 7560584"/>
                            <a:gd name="connsiteY3" fmla="*/ 1832857 h 7092000"/>
                            <a:gd name="connsiteX4" fmla="*/ 4370258 w 7560584"/>
                            <a:gd name="connsiteY4" fmla="*/ 1520395 h 7092000"/>
                            <a:gd name="connsiteX5" fmla="*/ 5823599 w 7560584"/>
                            <a:gd name="connsiteY5" fmla="*/ 1590203 h 7092000"/>
                            <a:gd name="connsiteX6" fmla="*/ 0 w 7560584"/>
                            <a:gd name="connsiteY6" fmla="*/ 0 h 7092000"/>
                            <a:gd name="connsiteX7" fmla="*/ 4383246 w 7560584"/>
                            <a:gd name="connsiteY7" fmla="*/ 1376814 h 7092000"/>
                            <a:gd name="connsiteX8" fmla="*/ 976028 w 7560584"/>
                            <a:gd name="connsiteY8" fmla="*/ 7092000 h 7092000"/>
                            <a:gd name="connsiteX9" fmla="*/ 0 w 7560584"/>
                            <a:gd name="connsiteY9" fmla="*/ 7092000 h 7092000"/>
                            <a:gd name="connsiteX10" fmla="*/ 0 w 7560584"/>
                            <a:gd name="connsiteY10" fmla="*/ 0 h 7092000"/>
                            <a:gd name="connsiteX0" fmla="*/ 5823599 w 7560584"/>
                            <a:gd name="connsiteY0" fmla="*/ 1590203 h 7092000"/>
                            <a:gd name="connsiteX1" fmla="*/ 7560584 w 7560584"/>
                            <a:gd name="connsiteY1" fmla="*/ 1917907 h 7092000"/>
                            <a:gd name="connsiteX2" fmla="*/ 7560000 w 7560584"/>
                            <a:gd name="connsiteY2" fmla="*/ 7092000 h 7092000"/>
                            <a:gd name="connsiteX3" fmla="*/ 4370258 w 7560584"/>
                            <a:gd name="connsiteY3" fmla="*/ 1520395 h 7092000"/>
                            <a:gd name="connsiteX4" fmla="*/ 5823599 w 7560584"/>
                            <a:gd name="connsiteY4" fmla="*/ 1590203 h 7092000"/>
                            <a:gd name="connsiteX5" fmla="*/ 0 w 7560584"/>
                            <a:gd name="connsiteY5" fmla="*/ 0 h 7092000"/>
                            <a:gd name="connsiteX6" fmla="*/ 4383246 w 7560584"/>
                            <a:gd name="connsiteY6" fmla="*/ 1376814 h 7092000"/>
                            <a:gd name="connsiteX7" fmla="*/ 976028 w 7560584"/>
                            <a:gd name="connsiteY7" fmla="*/ 7092000 h 7092000"/>
                            <a:gd name="connsiteX8" fmla="*/ 0 w 7560584"/>
                            <a:gd name="connsiteY8" fmla="*/ 7092000 h 7092000"/>
                            <a:gd name="connsiteX9" fmla="*/ 0 w 7560584"/>
                            <a:gd name="connsiteY9" fmla="*/ 0 h 7092000"/>
                            <a:gd name="connsiteX0" fmla="*/ 5823599 w 7560584"/>
                            <a:gd name="connsiteY0" fmla="*/ 1590203 h 7092000"/>
                            <a:gd name="connsiteX1" fmla="*/ 7560584 w 7560584"/>
                            <a:gd name="connsiteY1" fmla="*/ 1917907 h 7092000"/>
                            <a:gd name="connsiteX2" fmla="*/ 7560000 w 7560584"/>
                            <a:gd name="connsiteY2" fmla="*/ 7092000 h 7092000"/>
                            <a:gd name="connsiteX3" fmla="*/ 5823599 w 7560584"/>
                            <a:gd name="connsiteY3" fmla="*/ 1590203 h 7092000"/>
                            <a:gd name="connsiteX4" fmla="*/ 0 w 7560584"/>
                            <a:gd name="connsiteY4" fmla="*/ 0 h 7092000"/>
                            <a:gd name="connsiteX5" fmla="*/ 4383246 w 7560584"/>
                            <a:gd name="connsiteY5" fmla="*/ 1376814 h 7092000"/>
                            <a:gd name="connsiteX6" fmla="*/ 976028 w 7560584"/>
                            <a:gd name="connsiteY6" fmla="*/ 7092000 h 7092000"/>
                            <a:gd name="connsiteX7" fmla="*/ 0 w 7560584"/>
                            <a:gd name="connsiteY7" fmla="*/ 7092000 h 7092000"/>
                            <a:gd name="connsiteX8" fmla="*/ 0 w 7560584"/>
                            <a:gd name="connsiteY8" fmla="*/ 0 h 7092000"/>
                            <a:gd name="connsiteX0" fmla="*/ 7560000 w 7560584"/>
                            <a:gd name="connsiteY0" fmla="*/ 7092000 h 7092000"/>
                            <a:gd name="connsiteX1" fmla="*/ 7560584 w 7560584"/>
                            <a:gd name="connsiteY1" fmla="*/ 1917907 h 7092000"/>
                            <a:gd name="connsiteX2" fmla="*/ 7560000 w 7560584"/>
                            <a:gd name="connsiteY2" fmla="*/ 7092000 h 7092000"/>
                            <a:gd name="connsiteX3" fmla="*/ 0 w 7560584"/>
                            <a:gd name="connsiteY3" fmla="*/ 0 h 7092000"/>
                            <a:gd name="connsiteX4" fmla="*/ 4383246 w 7560584"/>
                            <a:gd name="connsiteY4" fmla="*/ 1376814 h 7092000"/>
                            <a:gd name="connsiteX5" fmla="*/ 976028 w 7560584"/>
                            <a:gd name="connsiteY5" fmla="*/ 7092000 h 7092000"/>
                            <a:gd name="connsiteX6" fmla="*/ 0 w 7560584"/>
                            <a:gd name="connsiteY6" fmla="*/ 7092000 h 7092000"/>
                            <a:gd name="connsiteX7" fmla="*/ 0 w 7560584"/>
                            <a:gd name="connsiteY7" fmla="*/ 0 h 7092000"/>
                            <a:gd name="connsiteX0" fmla="*/ 0 w 4389962"/>
                            <a:gd name="connsiteY0" fmla="*/ 0 h 7092000"/>
                            <a:gd name="connsiteX1" fmla="*/ 4383246 w 4389962"/>
                            <a:gd name="connsiteY1" fmla="*/ 1376814 h 7092000"/>
                            <a:gd name="connsiteX2" fmla="*/ 976028 w 4389962"/>
                            <a:gd name="connsiteY2" fmla="*/ 7092000 h 7092000"/>
                            <a:gd name="connsiteX3" fmla="*/ 0 w 4389962"/>
                            <a:gd name="connsiteY3" fmla="*/ 7092000 h 7092000"/>
                            <a:gd name="connsiteX4" fmla="*/ 0 w 4389962"/>
                            <a:gd name="connsiteY4" fmla="*/ 0 h 7092000"/>
                            <a:gd name="connsiteX0" fmla="*/ 0 w 8095226"/>
                            <a:gd name="connsiteY0" fmla="*/ 0 h 7092000"/>
                            <a:gd name="connsiteX1" fmla="*/ 8092247 w 8095226"/>
                            <a:gd name="connsiteY1" fmla="*/ 2059187 h 7092000"/>
                            <a:gd name="connsiteX2" fmla="*/ 976028 w 8095226"/>
                            <a:gd name="connsiteY2" fmla="*/ 7092000 h 7092000"/>
                            <a:gd name="connsiteX3" fmla="*/ 0 w 8095226"/>
                            <a:gd name="connsiteY3" fmla="*/ 7092000 h 7092000"/>
                            <a:gd name="connsiteX4" fmla="*/ 0 w 8095226"/>
                            <a:gd name="connsiteY4" fmla="*/ 0 h 7092000"/>
                            <a:gd name="connsiteX0" fmla="*/ 976028 w 8183691"/>
                            <a:gd name="connsiteY0" fmla="*/ 7092000 h 7092000"/>
                            <a:gd name="connsiteX1" fmla="*/ 0 w 8183691"/>
                            <a:gd name="connsiteY1" fmla="*/ 7092000 h 7092000"/>
                            <a:gd name="connsiteX2" fmla="*/ 0 w 8183691"/>
                            <a:gd name="connsiteY2" fmla="*/ 0 h 7092000"/>
                            <a:gd name="connsiteX3" fmla="*/ 8183691 w 8183691"/>
                            <a:gd name="connsiteY3" fmla="*/ 2150639 h 7092000"/>
                            <a:gd name="connsiteX0" fmla="*/ 8084686 w 8183691"/>
                            <a:gd name="connsiteY0" fmla="*/ 6997612 h 7092000"/>
                            <a:gd name="connsiteX1" fmla="*/ 0 w 8183691"/>
                            <a:gd name="connsiteY1" fmla="*/ 7092000 h 7092000"/>
                            <a:gd name="connsiteX2" fmla="*/ 0 w 8183691"/>
                            <a:gd name="connsiteY2" fmla="*/ 0 h 7092000"/>
                            <a:gd name="connsiteX3" fmla="*/ 8183691 w 8183691"/>
                            <a:gd name="connsiteY3" fmla="*/ 2150639 h 7092000"/>
                            <a:gd name="connsiteX0" fmla="*/ 8084686 w 8084686"/>
                            <a:gd name="connsiteY0" fmla="*/ 6997612 h 7092000"/>
                            <a:gd name="connsiteX1" fmla="*/ 0 w 8084686"/>
                            <a:gd name="connsiteY1" fmla="*/ 7092000 h 7092000"/>
                            <a:gd name="connsiteX2" fmla="*/ 0 w 8084686"/>
                            <a:gd name="connsiteY2" fmla="*/ 0 h 7092000"/>
                            <a:gd name="connsiteX3" fmla="*/ 8080875 w 8084686"/>
                            <a:gd name="connsiteY3" fmla="*/ 2013461 h 7092000"/>
                            <a:gd name="connsiteX0" fmla="*/ 8092882 w 8092882"/>
                            <a:gd name="connsiteY0" fmla="*/ 6997612 h 6997612"/>
                            <a:gd name="connsiteX1" fmla="*/ 0 w 8092882"/>
                            <a:gd name="connsiteY1" fmla="*/ 6860434 h 6997612"/>
                            <a:gd name="connsiteX2" fmla="*/ 8196 w 8092882"/>
                            <a:gd name="connsiteY2" fmla="*/ 0 h 6997612"/>
                            <a:gd name="connsiteX3" fmla="*/ 8089071 w 8092882"/>
                            <a:gd name="connsiteY3" fmla="*/ 2013461 h 6997612"/>
                            <a:gd name="connsiteX0" fmla="*/ 8100933 w 8100933"/>
                            <a:gd name="connsiteY0" fmla="*/ 6860669 h 6860669"/>
                            <a:gd name="connsiteX1" fmla="*/ 0 w 8100933"/>
                            <a:gd name="connsiteY1" fmla="*/ 6860434 h 6860669"/>
                            <a:gd name="connsiteX2" fmla="*/ 8196 w 8100933"/>
                            <a:gd name="connsiteY2" fmla="*/ 0 h 6860669"/>
                            <a:gd name="connsiteX3" fmla="*/ 8089071 w 8100933"/>
                            <a:gd name="connsiteY3" fmla="*/ 2013461 h 6860669"/>
                            <a:gd name="connsiteX0" fmla="*/ 8113502 w 8113502"/>
                            <a:gd name="connsiteY0" fmla="*/ 6860669 h 6897110"/>
                            <a:gd name="connsiteX1" fmla="*/ 0 w 8113502"/>
                            <a:gd name="connsiteY1" fmla="*/ 6897110 h 6897110"/>
                            <a:gd name="connsiteX2" fmla="*/ 20765 w 8113502"/>
                            <a:gd name="connsiteY2" fmla="*/ 0 h 6897110"/>
                            <a:gd name="connsiteX3" fmla="*/ 8101640 w 8113502"/>
                            <a:gd name="connsiteY3" fmla="*/ 2013461 h 6897110"/>
                            <a:gd name="connsiteX0" fmla="*/ 8115349 w 8115349"/>
                            <a:gd name="connsiteY0" fmla="*/ 6904335 h 6904335"/>
                            <a:gd name="connsiteX1" fmla="*/ 0 w 8115349"/>
                            <a:gd name="connsiteY1" fmla="*/ 6897110 h 6904335"/>
                            <a:gd name="connsiteX2" fmla="*/ 20765 w 8115349"/>
                            <a:gd name="connsiteY2" fmla="*/ 0 h 6904335"/>
                            <a:gd name="connsiteX3" fmla="*/ 8101640 w 8115349"/>
                            <a:gd name="connsiteY3" fmla="*/ 2013461 h 6904335"/>
                            <a:gd name="connsiteX0" fmla="*/ 8111481 w 8111481"/>
                            <a:gd name="connsiteY0" fmla="*/ 6889331 h 6897110"/>
                            <a:gd name="connsiteX1" fmla="*/ 0 w 8111481"/>
                            <a:gd name="connsiteY1" fmla="*/ 6897110 h 6897110"/>
                            <a:gd name="connsiteX2" fmla="*/ 20765 w 8111481"/>
                            <a:gd name="connsiteY2" fmla="*/ 0 h 6897110"/>
                            <a:gd name="connsiteX3" fmla="*/ 8101640 w 8111481"/>
                            <a:gd name="connsiteY3" fmla="*/ 2013461 h 6897110"/>
                            <a:gd name="connsiteX0" fmla="*/ 8111481 w 8119406"/>
                            <a:gd name="connsiteY0" fmla="*/ 6889331 h 6897110"/>
                            <a:gd name="connsiteX1" fmla="*/ 0 w 8119406"/>
                            <a:gd name="connsiteY1" fmla="*/ 6897110 h 6897110"/>
                            <a:gd name="connsiteX2" fmla="*/ 20765 w 8119406"/>
                            <a:gd name="connsiteY2" fmla="*/ 0 h 6897110"/>
                            <a:gd name="connsiteX3" fmla="*/ 8119406 w 8119406"/>
                            <a:gd name="connsiteY3" fmla="*/ 2067808 h 6897110"/>
                            <a:gd name="connsiteX0" fmla="*/ 8111481 w 8119406"/>
                            <a:gd name="connsiteY0" fmla="*/ 6890656 h 6898435"/>
                            <a:gd name="connsiteX1" fmla="*/ 0 w 8119406"/>
                            <a:gd name="connsiteY1" fmla="*/ 6898435 h 6898435"/>
                            <a:gd name="connsiteX2" fmla="*/ 3479 w 8119406"/>
                            <a:gd name="connsiteY2" fmla="*/ 0 h 6898435"/>
                            <a:gd name="connsiteX3" fmla="*/ 8119406 w 8119406"/>
                            <a:gd name="connsiteY3" fmla="*/ 2069133 h 6898435"/>
                            <a:gd name="connsiteX0" fmla="*/ 8112089 w 8119406"/>
                            <a:gd name="connsiteY0" fmla="*/ 6907271 h 6907271"/>
                            <a:gd name="connsiteX1" fmla="*/ 0 w 8119406"/>
                            <a:gd name="connsiteY1" fmla="*/ 6898435 h 6907271"/>
                            <a:gd name="connsiteX2" fmla="*/ 3479 w 8119406"/>
                            <a:gd name="connsiteY2" fmla="*/ 0 h 6907271"/>
                            <a:gd name="connsiteX3" fmla="*/ 8119406 w 8119406"/>
                            <a:gd name="connsiteY3" fmla="*/ 2069133 h 6907271"/>
                            <a:gd name="connsiteX0" fmla="*/ 8104468 w 8119406"/>
                            <a:gd name="connsiteY0" fmla="*/ 6869110 h 6898435"/>
                            <a:gd name="connsiteX1" fmla="*/ 0 w 8119406"/>
                            <a:gd name="connsiteY1" fmla="*/ 6898435 h 6898435"/>
                            <a:gd name="connsiteX2" fmla="*/ 3479 w 8119406"/>
                            <a:gd name="connsiteY2" fmla="*/ 0 h 6898435"/>
                            <a:gd name="connsiteX3" fmla="*/ 8119406 w 8119406"/>
                            <a:gd name="connsiteY3" fmla="*/ 2069133 h 6898435"/>
                            <a:gd name="connsiteX0" fmla="*/ 8104468 w 8119406"/>
                            <a:gd name="connsiteY0" fmla="*/ 6895840 h 6898435"/>
                            <a:gd name="connsiteX1" fmla="*/ 0 w 8119406"/>
                            <a:gd name="connsiteY1" fmla="*/ 6898435 h 6898435"/>
                            <a:gd name="connsiteX2" fmla="*/ 3479 w 8119406"/>
                            <a:gd name="connsiteY2" fmla="*/ 0 h 6898435"/>
                            <a:gd name="connsiteX3" fmla="*/ 8119406 w 8119406"/>
                            <a:gd name="connsiteY3" fmla="*/ 2069133 h 6898435"/>
                            <a:gd name="connsiteX0" fmla="*/ 8138501 w 8138501"/>
                            <a:gd name="connsiteY0" fmla="*/ 6895707 h 6898435"/>
                            <a:gd name="connsiteX1" fmla="*/ 0 w 8138501"/>
                            <a:gd name="connsiteY1" fmla="*/ 6898435 h 6898435"/>
                            <a:gd name="connsiteX2" fmla="*/ 3479 w 8138501"/>
                            <a:gd name="connsiteY2" fmla="*/ 0 h 6898435"/>
                            <a:gd name="connsiteX3" fmla="*/ 8119406 w 8138501"/>
                            <a:gd name="connsiteY3" fmla="*/ 2069133 h 6898435"/>
                            <a:gd name="connsiteX0" fmla="*/ 8138501 w 8138501"/>
                            <a:gd name="connsiteY0" fmla="*/ 6895707 h 6898435"/>
                            <a:gd name="connsiteX1" fmla="*/ 0 w 8138501"/>
                            <a:gd name="connsiteY1" fmla="*/ 6898435 h 6898435"/>
                            <a:gd name="connsiteX2" fmla="*/ 2966 w 8138501"/>
                            <a:gd name="connsiteY2" fmla="*/ 0 h 6898435"/>
                            <a:gd name="connsiteX3" fmla="*/ 8119406 w 8138501"/>
                            <a:gd name="connsiteY3" fmla="*/ 2069133 h 6898435"/>
                            <a:gd name="connsiteX0" fmla="*/ 8138501 w 8138501"/>
                            <a:gd name="connsiteY0" fmla="*/ 6879090 h 6881818"/>
                            <a:gd name="connsiteX1" fmla="*/ 0 w 8138501"/>
                            <a:gd name="connsiteY1" fmla="*/ 6881818 h 6881818"/>
                            <a:gd name="connsiteX2" fmla="*/ 2966 w 8138501"/>
                            <a:gd name="connsiteY2" fmla="*/ 0 h 6881818"/>
                            <a:gd name="connsiteX3" fmla="*/ 8119406 w 8138501"/>
                            <a:gd name="connsiteY3" fmla="*/ 2052516 h 6881818"/>
                            <a:gd name="connsiteX0" fmla="*/ 8138501 w 8169945"/>
                            <a:gd name="connsiteY0" fmla="*/ 6879090 h 6881818"/>
                            <a:gd name="connsiteX1" fmla="*/ 0 w 8169945"/>
                            <a:gd name="connsiteY1" fmla="*/ 6881818 h 6881818"/>
                            <a:gd name="connsiteX2" fmla="*/ 2966 w 8169945"/>
                            <a:gd name="connsiteY2" fmla="*/ 0 h 6881818"/>
                            <a:gd name="connsiteX3" fmla="*/ 8169945 w 8169945"/>
                            <a:gd name="connsiteY3" fmla="*/ 2064981 h 6881818"/>
                            <a:gd name="connsiteX0" fmla="*/ 8144221 w 8175665"/>
                            <a:gd name="connsiteY0" fmla="*/ 6880923 h 6883651"/>
                            <a:gd name="connsiteX1" fmla="*/ 5720 w 8175665"/>
                            <a:gd name="connsiteY1" fmla="*/ 6883651 h 6883651"/>
                            <a:gd name="connsiteX2" fmla="*/ 1619 w 8175665"/>
                            <a:gd name="connsiteY2" fmla="*/ 0 h 6883651"/>
                            <a:gd name="connsiteX3" fmla="*/ 8175665 w 8175665"/>
                            <a:gd name="connsiteY3" fmla="*/ 2066814 h 6883651"/>
                            <a:gd name="connsiteX0" fmla="*/ 8174978 w 8175665"/>
                            <a:gd name="connsiteY0" fmla="*/ 6879381 h 6883651"/>
                            <a:gd name="connsiteX1" fmla="*/ 5720 w 8175665"/>
                            <a:gd name="connsiteY1" fmla="*/ 6883651 h 6883651"/>
                            <a:gd name="connsiteX2" fmla="*/ 1619 w 8175665"/>
                            <a:gd name="connsiteY2" fmla="*/ 0 h 6883651"/>
                            <a:gd name="connsiteX3" fmla="*/ 8175665 w 8175665"/>
                            <a:gd name="connsiteY3" fmla="*/ 2066814 h 6883651"/>
                            <a:gd name="connsiteX0" fmla="*/ 8174978 w 8175665"/>
                            <a:gd name="connsiteY0" fmla="*/ 6879381 h 6883651"/>
                            <a:gd name="connsiteX1" fmla="*/ 5720 w 8175665"/>
                            <a:gd name="connsiteY1" fmla="*/ 6883651 h 6883651"/>
                            <a:gd name="connsiteX2" fmla="*/ 1619 w 8175665"/>
                            <a:gd name="connsiteY2" fmla="*/ 0 h 6883651"/>
                            <a:gd name="connsiteX3" fmla="*/ 8175665 w 8175665"/>
                            <a:gd name="connsiteY3" fmla="*/ 2066814 h 6883651"/>
                            <a:gd name="connsiteX0" fmla="*/ 8174978 w 8186652"/>
                            <a:gd name="connsiteY0" fmla="*/ 6879381 h 6883651"/>
                            <a:gd name="connsiteX1" fmla="*/ 5720 w 8186652"/>
                            <a:gd name="connsiteY1" fmla="*/ 6883651 h 6883651"/>
                            <a:gd name="connsiteX2" fmla="*/ 1619 w 8186652"/>
                            <a:gd name="connsiteY2" fmla="*/ 0 h 6883651"/>
                            <a:gd name="connsiteX3" fmla="*/ 8186652 w 8186652"/>
                            <a:gd name="connsiteY3" fmla="*/ 1518580 h 6883651"/>
                          </a:gdLst>
                          <a:ahLst/>
                          <a:cxnLst>
                            <a:cxn ang="0">
                              <a:pos x="connsiteX0" y="connsiteY0"/>
                            </a:cxn>
                            <a:cxn ang="0">
                              <a:pos x="connsiteX1" y="connsiteY1"/>
                            </a:cxn>
                            <a:cxn ang="0">
                              <a:pos x="connsiteX2" y="connsiteY2"/>
                            </a:cxn>
                            <a:cxn ang="0">
                              <a:pos x="connsiteX3" y="connsiteY3"/>
                            </a:cxn>
                          </a:cxnLst>
                          <a:rect l="l" t="t" r="r" b="b"/>
                          <a:pathLst>
                            <a:path w="8186652" h="6883651">
                              <a:moveTo>
                                <a:pt x="8174978" y="6879381"/>
                              </a:moveTo>
                              <a:lnTo>
                                <a:pt x="5720" y="6883651"/>
                              </a:lnTo>
                              <a:cubicBezTo>
                                <a:pt x="12642" y="4584614"/>
                                <a:pt x="-5303" y="2299037"/>
                                <a:pt x="1619" y="0"/>
                              </a:cubicBezTo>
                              <a:lnTo>
                                <a:pt x="8186652" y="1518580"/>
                              </a:lnTo>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wrap="square" rtlCol="0" anchor="ctr">
                        <a:noAutofit/>
                      </wps:bodyPr>
                    </wps:wsp>
                  </a:graphicData>
                </a:graphic>
                <wp14:sizeRelH relativeFrom="margin">
                  <wp14:pctWidth>0</wp14:pctWidth>
                </wp14:sizeRelH>
                <wp14:sizeRelV relativeFrom="margin">
                  <wp14:pctHeight>0</wp14:pctHeight>
                </wp14:sizeRelV>
              </wp:anchor>
            </w:drawing>
          </mc:Choice>
          <mc:Fallback>
            <w:pict>
              <v:shape id="CoverLowerHalfBlue" o:spid="_x0000_s1026" style="position:absolute;margin-left:0;margin-top:0;width:595.3pt;height:715.6pt;z-index:-251627520;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coordsize="8186652,68836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" o:allowincell="f" path="m8174978,6879381l5720,6883651c12642,4584614,-5303,2299037,1619,l8186652,1518580e" fillcolor="#00b5e2 [3204]" stroked="f" strokeweight="2pt">
                <v:path arrowok="t" o:connecttype="custom" o:connectlocs="7549529,9082672;5282,9088310;1495,0;7560310,2004943" o:connectangles="0,0,0,0"/>
                <w10:wrap anchorx="page" anchory="page"/>
              </v:shape>
            </w:pict>
          </mc:Fallback>
        </mc:AlternateContent>
      </w:r>
      <w:r w:rsidR="005A1F44">
        <w:rPr>
          <w:noProof/>
          <w:lang w:eastAsia="en-GB"/>
        </w:rPr>
        <w:drawing>
          <wp:anchor distT="0" distB="0" distL="114300" distR="114300" simplePos="0" relativeHeight="251691008" behindDoc="0" locked="0" layoutInCell="1" allowOverlap="1" wp14:anchorId="2933038A" wp14:editId="131254B1">
            <wp:simplePos x="0" y="0"/>
            <wp:positionH relativeFrom="rightMargin">
              <wp:posOffset>-1043940</wp:posOffset>
            </wp:positionH>
            <wp:positionV relativeFrom="page">
              <wp:posOffset>360045</wp:posOffset>
            </wp:positionV>
            <wp:extent cx="1620000" cy="238320"/>
            <wp:effectExtent l="0" t="0" r="0" b="9525"/>
            <wp:wrapNone/>
            <wp:docPr id="9" name="AECOMLogo" descr="aecom_imagineit_reverse_1mm_border_v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ECOMLogo" descr="aecom_imagineit_reverse_1mm_border_v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20000" cy="238320"/>
                    </a:xfrm>
                    <a:prstGeom prst="rect">
                      <a:avLst/>
                    </a:prstGeom>
                    <a:noFill/>
                  </pic:spPr>
                </pic:pic>
              </a:graphicData>
            </a:graphic>
            <wp14:sizeRelH relativeFrom="page">
              <wp14:pctWidth>0</wp14:pctWidth>
            </wp14:sizeRelH>
            <wp14:sizeRelV relativeFrom="page">
              <wp14:pctHeight>0</wp14:pctHeight>
            </wp14:sizeRelV>
          </wp:anchor>
        </w:drawing>
      </w:r>
      <w:r w:rsidR="00F12DD7">
        <w:rPr>
          <w:noProof/>
          <w:lang w:eastAsia="en-GB"/>
        </w:rPr>
        <mc:AlternateContent>
          <mc:Choice Requires="wps">
            <w:drawing>
              <wp:anchor distT="0" distB="0" distL="114300" distR="114300" simplePos="0" relativeHeight="251676672" behindDoc="0" locked="0" layoutInCell="0" allowOverlap="1" wp14:anchorId="5B17BBF2" wp14:editId="38921AE1">
                <wp:simplePos x="0" y="0"/>
                <wp:positionH relativeFrom="column">
                  <wp:posOffset>0</wp:posOffset>
                </wp:positionH>
                <wp:positionV relativeFrom="page">
                  <wp:posOffset>361507</wp:posOffset>
                </wp:positionV>
                <wp:extent cx="4284921" cy="202019"/>
                <wp:effectExtent l="0" t="0" r="1905" b="5715"/>
                <wp:wrapNone/>
                <wp:docPr id="4" name="CoverAdditionalCompany"/>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4921" cy="202019"/>
                        </a:xfrm>
                        <a:prstGeom prst="rect">
                          <a:avLst/>
                        </a:prstGeom>
                        <a:noFill/>
                        <a:ln w="9525">
                          <a:noFill/>
                          <a:miter lim="800000"/>
                          <a:headEnd/>
                          <a:tailEnd/>
                        </a:ln>
                      </wps:spPr>
                      <wps:txbx>
                        <w:txbxContent>
                          <w:bookmarkStart w:id="1" w:name="Cover2"/>
                          <w:bookmarkStart w:id="2" w:name="Start"/>
                          <w:bookmarkStart w:id="3" w:name="DRAFT"/>
                          <w:p w:rsidR="009144D7" w:rsidRPr="00F74319" w:rsidRDefault="009144D7" w:rsidP="00F83749">
                            <w:pPr>
                              <w:pStyle w:val="Subtitleheading"/>
                              <w:rPr>
                                <w:b/>
                                <w:sz w:val="36"/>
                                <w:szCs w:val="36"/>
                              </w:rPr>
                            </w:pPr>
                            <w:r w:rsidRPr="005A1F44">
                              <w:rPr>
                                <w:b/>
                                <w:color w:val="FFFFFF"/>
                                <w:sz w:val="36"/>
                                <w:szCs w:val="36"/>
                              </w:rPr>
                              <w:fldChar w:fldCharType="begin"/>
                            </w:r>
                            <w:r w:rsidRPr="005A1F44">
                              <w:rPr>
                                <w:b/>
                                <w:color w:val="FFFFFF"/>
                                <w:sz w:val="36"/>
                                <w:szCs w:val="36"/>
                              </w:rPr>
                              <w:instrText xml:space="preserve"> DOCPROPERTY  Draft \* MERGEFORMAT </w:instrText>
                            </w:r>
                            <w:r w:rsidRPr="005A1F44">
                              <w:rPr>
                                <w:b/>
                                <w:color w:val="FFFFFF"/>
                                <w:sz w:val="36"/>
                                <w:szCs w:val="36"/>
                              </w:rPr>
                              <w:fldChar w:fldCharType="separate"/>
                            </w:r>
                            <w:r>
                              <w:rPr>
                                <w:b/>
                                <w:color w:val="FFFFFF"/>
                                <w:sz w:val="36"/>
                                <w:szCs w:val="36"/>
                              </w:rPr>
                              <w:t>DRAFT</w:t>
                            </w:r>
                            <w:r w:rsidRPr="005A1F44">
                              <w:rPr>
                                <w:b/>
                                <w:color w:val="FFFFFF"/>
                                <w:sz w:val="36"/>
                                <w:szCs w:val="36"/>
                              </w:rPr>
                              <w:fldChar w:fldCharType="end"/>
                            </w:r>
                            <w:r w:rsidRPr="005A1F44">
                              <w:rPr>
                                <w:b/>
                                <w:color w:val="FFFFFF"/>
                                <w:sz w:val="36"/>
                                <w:szCs w:val="36"/>
                              </w:rPr>
                              <w:t xml:space="preserve"> </w:t>
                            </w:r>
                            <w:bookmarkEnd w:id="1"/>
                            <w:bookmarkEnd w:id="2"/>
                            <w:bookmarkEnd w:id="3"/>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CoverAdditionalCompany" o:spid="_x0000_s1026" type="#_x0000_t202" style="position:absolute;margin-left:0;margin-top:28.45pt;width:337.4pt;height:15.9pt;z-index:251676672;visibility:visible;mso-wrap-style:square;mso-width-percent:0;mso-height-percent:200;mso-wrap-distance-left:9pt;mso-wrap-distance-top:0;mso-wrap-distance-right:9pt;mso-wrap-distance-bottom:0;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" o:allowincell="f" filled="f" stroked="f">
                <v:textbox style="mso-fit-shape-to-text:t" inset="0,0,0,0">
                  <w:txbxContent>
                    <w:bookmarkStart w:id="4" w:name="Cover2"/>
                    <w:bookmarkStart w:id="5" w:name="Start"/>
                    <w:bookmarkStart w:id="6" w:name="DRAFT"/>
                    <w:p w:rsidR="009144D7" w:rsidRPr="00F74319" w:rsidRDefault="009144D7" w:rsidP="00F83749">
                      <w:pPr>
                        <w:pStyle w:val="Subtitleheading"/>
                        <w:rPr>
                          <w:b/>
                          <w:sz w:val="36"/>
                          <w:szCs w:val="36"/>
                        </w:rPr>
                      </w:pPr>
                      <w:r w:rsidRPr="005A1F44">
                        <w:rPr>
                          <w:b/>
                          <w:color w:val="FFFFFF"/>
                          <w:sz w:val="36"/>
                          <w:szCs w:val="36"/>
                        </w:rPr>
                        <w:fldChar w:fldCharType="begin"/>
                      </w:r>
                      <w:r w:rsidRPr="005A1F44">
                        <w:rPr>
                          <w:b/>
                          <w:color w:val="FFFFFF"/>
                          <w:sz w:val="36"/>
                          <w:szCs w:val="36"/>
                        </w:rPr>
                        <w:instrText xml:space="preserve"> DOCPROPERTY  Draft \* MERGEFORMAT </w:instrText>
                      </w:r>
                      <w:r w:rsidRPr="005A1F44">
                        <w:rPr>
                          <w:b/>
                          <w:color w:val="FFFFFF"/>
                          <w:sz w:val="36"/>
                          <w:szCs w:val="36"/>
                        </w:rPr>
                        <w:fldChar w:fldCharType="separate"/>
                      </w:r>
                      <w:r>
                        <w:rPr>
                          <w:b/>
                          <w:color w:val="FFFFFF"/>
                          <w:sz w:val="36"/>
                          <w:szCs w:val="36"/>
                        </w:rPr>
                        <w:t>DRAFT</w:t>
                      </w:r>
                      <w:r w:rsidRPr="005A1F44">
                        <w:rPr>
                          <w:b/>
                          <w:color w:val="FFFFFF"/>
                          <w:sz w:val="36"/>
                          <w:szCs w:val="36"/>
                        </w:rPr>
                        <w:fldChar w:fldCharType="end"/>
                      </w:r>
                      <w:r w:rsidRPr="005A1F44">
                        <w:rPr>
                          <w:b/>
                          <w:color w:val="FFFFFF"/>
                          <w:sz w:val="36"/>
                          <w:szCs w:val="36"/>
                        </w:rPr>
                        <w:t xml:space="preserve"> </w:t>
                      </w:r>
                      <w:bookmarkEnd w:id="4"/>
                      <w:bookmarkEnd w:id="5"/>
                      <w:bookmarkEnd w:id="6"/>
                    </w:p>
                  </w:txbxContent>
                </v:textbox>
                <w10:wrap anchory="page"/>
              </v:shape>
            </w:pict>
          </mc:Fallback>
        </mc:AlternateContent>
      </w:r>
    </w:p>
    <w:p w:rsidR="00F12DD7" w:rsidRDefault="00606621" w:rsidP="00F12DD7">
      <w:pPr>
        <w:pStyle w:val="BodyText"/>
      </w:pPr>
      <w:r>
        <w:rPr>
          <w:noProof/>
          <w:lang w:eastAsia="en-GB"/>
        </w:rPr>
        <mc:AlternateContent>
          <mc:Choice Requires="wps">
            <w:drawing>
              <wp:anchor distT="0" distB="0" distL="114300" distR="114300" simplePos="0" relativeHeight="251665408" behindDoc="0" locked="0" layoutInCell="0" allowOverlap="1" wp14:anchorId="581DF15E" wp14:editId="0FC195DE">
                <wp:simplePos x="0" y="0"/>
                <wp:positionH relativeFrom="column">
                  <wp:posOffset>0</wp:posOffset>
                </wp:positionH>
                <wp:positionV relativeFrom="page">
                  <wp:align>bottom</wp:align>
                </wp:positionV>
                <wp:extent cx="5731510" cy="1354455"/>
                <wp:effectExtent l="0" t="0" r="2540" b="0"/>
                <wp:wrapNone/>
                <wp:docPr id="307" name="CoverFooterBox"/>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1510" cy="1354455"/>
                        </a:xfrm>
                        <a:prstGeom prst="rect">
                          <a:avLst/>
                        </a:prstGeom>
                        <a:noFill/>
                        <a:ln w="9525">
                          <a:noFill/>
                          <a:miter lim="800000"/>
                          <a:headEnd/>
                          <a:tailEnd/>
                        </a:ln>
                      </wps:spPr>
                      <wps:txbx>
                        <w:txbxContent>
                          <w:tbl>
                            <w:tblPr>
                              <w:tblStyle w:val="Plaingrid"/>
                              <w:tblW w:w="4950" w:type="pct"/>
                              <w:tblLook w:val="04A0" w:firstRow="1" w:lastRow="0" w:firstColumn="1" w:lastColumn="0" w:noHBand="0" w:noVBand="1"/>
                            </w:tblPr>
                            <w:tblGrid>
                              <w:gridCol w:w="2627"/>
                              <w:gridCol w:w="2884"/>
                              <w:gridCol w:w="3533"/>
                            </w:tblGrid>
                            <w:tr w:rsidR="009144D7" w:rsidRPr="005A1F44" w:rsidTr="00606621">
                              <w:trPr>
                                <w:trHeight w:val="1554"/>
                              </w:trPr>
                              <w:tc>
                                <w:tcPr>
                                  <w:tcW w:w="2635" w:type="dxa"/>
                                  <w:vAlign w:val="bottom"/>
                                </w:tcPr>
                                <w:bookmarkStart w:id="4" w:name="Cover3" w:colFirst="0" w:colLast="2"/>
                                <w:bookmarkStart w:id="5" w:name="CoverTable2"/>
                                <w:p w:rsidR="009144D7" w:rsidRPr="005A1F44" w:rsidRDefault="009144D7" w:rsidP="008A19FD">
                                  <w:pPr>
                                    <w:pStyle w:val="Coverfooter"/>
                                    <w:rPr>
                                      <w:color w:val="FFFFFF"/>
                                    </w:rPr>
                                  </w:pPr>
                                  <w:r w:rsidRPr="005A1F44">
                                    <w:rPr>
                                      <w:color w:val="FFFFFF"/>
                                    </w:rPr>
                                    <w:fldChar w:fldCharType="begin"/>
                                  </w:r>
                                  <w:r w:rsidRPr="005A1F44">
                                    <w:rPr>
                                      <w:color w:val="FFFFFF"/>
                                    </w:rPr>
                                    <w:instrText xml:space="preserve"> DOCPROPERTY  FooterClientAddress \* MERGEFORMAT </w:instrText>
                                  </w:r>
                                  <w:r w:rsidRPr="005A1F44">
                                    <w:rPr>
                                      <w:color w:val="FFFFFF"/>
                                    </w:rPr>
                                    <w:fldChar w:fldCharType="end"/>
                                  </w:r>
                                </w:p>
                              </w:tc>
                              <w:tc>
                                <w:tcPr>
                                  <w:tcW w:w="2894" w:type="dxa"/>
                                  <w:vAlign w:val="bottom"/>
                                </w:tcPr>
                                <w:p w:rsidR="009144D7" w:rsidRPr="005A1F44" w:rsidRDefault="009144D7" w:rsidP="00BA5047">
                                  <w:pPr>
                                    <w:pStyle w:val="Coverfooter"/>
                                    <w:jc w:val="center"/>
                                    <w:rPr>
                                      <w:b/>
                                      <w:caps/>
                                      <w:color w:val="FFFFFF"/>
                                      <w:sz w:val="18"/>
                                      <w:szCs w:val="18"/>
                                    </w:rPr>
                                  </w:pPr>
                                  <w:r w:rsidRPr="005A1F44">
                                    <w:rPr>
                                      <w:b/>
                                      <w:caps/>
                                      <w:color w:val="FFFFFF"/>
                                      <w:sz w:val="18"/>
                                      <w:szCs w:val="18"/>
                                    </w:rPr>
                                    <w:fldChar w:fldCharType="begin"/>
                                  </w:r>
                                  <w:r w:rsidRPr="005A1F44">
                                    <w:rPr>
                                      <w:b/>
                                      <w:caps/>
                                      <w:color w:val="FFFFFF"/>
                                      <w:sz w:val="18"/>
                                      <w:szCs w:val="18"/>
                                    </w:rPr>
                                    <w:instrText xml:space="preserve"> DOCPROPERTY  ProtectiveMarking \* MERGEFORMAT </w:instrText>
                                  </w:r>
                                  <w:r w:rsidRPr="005A1F44">
                                    <w:rPr>
                                      <w:b/>
                                      <w:caps/>
                                      <w:color w:val="FFFFFF"/>
                                      <w:sz w:val="18"/>
                                      <w:szCs w:val="18"/>
                                    </w:rPr>
                                    <w:fldChar w:fldCharType="end"/>
                                  </w:r>
                                </w:p>
                                <w:p w:rsidR="009144D7" w:rsidRPr="005A1F44" w:rsidRDefault="009144D7" w:rsidP="00BA5047">
                                  <w:pPr>
                                    <w:pStyle w:val="Coverfooter"/>
                                    <w:jc w:val="center"/>
                                    <w:rPr>
                                      <w:color w:val="FFFFFF"/>
                                    </w:rPr>
                                  </w:pPr>
                                  <w:r w:rsidRPr="005A1F44">
                                    <w:rPr>
                                      <w:color w:val="FFFFFF"/>
                                    </w:rPr>
                                    <w:fldChar w:fldCharType="begin"/>
                                  </w:r>
                                  <w:r w:rsidRPr="005A1F44">
                                    <w:rPr>
                                      <w:color w:val="FFFFFF"/>
                                    </w:rPr>
                                    <w:instrText xml:space="preserve"> DOCPROPERTY  Copies \* MERGEFORMAT </w:instrText>
                                  </w:r>
                                  <w:r w:rsidRPr="005A1F44">
                                    <w:rPr>
                                      <w:color w:val="FFFFFF"/>
                                    </w:rPr>
                                    <w:fldChar w:fldCharType="end"/>
                                  </w:r>
                                </w:p>
                              </w:tc>
                              <w:tc>
                                <w:tcPr>
                                  <w:tcW w:w="3545" w:type="dxa"/>
                                  <w:vAlign w:val="bottom"/>
                                </w:tcPr>
                                <w:p w:rsidR="009144D7" w:rsidRPr="005A1F44" w:rsidRDefault="009144D7" w:rsidP="008A19FD">
                                  <w:pPr>
                                    <w:pStyle w:val="Coverfooter"/>
                                    <w:rPr>
                                      <w:color w:val="FFFFFF"/>
                                    </w:rPr>
                                  </w:pPr>
                                </w:p>
                                <w:p w:rsidR="009144D7" w:rsidRPr="005A1F44" w:rsidRDefault="009144D7" w:rsidP="008A19FD">
                                  <w:pPr>
                                    <w:pStyle w:val="Coverfooter"/>
                                    <w:rPr>
                                      <w:color w:val="FFFFFF"/>
                                    </w:rPr>
                                  </w:pPr>
                                </w:p>
                                <w:p w:rsidR="009144D7" w:rsidRPr="005A1F44" w:rsidRDefault="009144D7" w:rsidP="008A19FD">
                                  <w:pPr>
                                    <w:pStyle w:val="Coverfooter"/>
                                    <w:rPr>
                                      <w:color w:val="FFFFFF"/>
                                    </w:rPr>
                                  </w:pPr>
                                </w:p>
                              </w:tc>
                            </w:tr>
                            <w:bookmarkEnd w:id="4"/>
                            <w:bookmarkEnd w:id="5"/>
                          </w:tbl>
                          <w:p w:rsidR="009144D7" w:rsidRDefault="009144D7" w:rsidP="00DA79BC"/>
                        </w:txbxContent>
                      </wps:txbx>
                      <wps:bodyPr rot="0" vert="horz" wrap="square" lIns="0" tIns="0" rIns="0" bIns="3600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overFooterBox" o:spid="_x0000_s1027" type="#_x0000_t202" style="position:absolute;margin-left:0;margin-top:0;width:451.3pt;height:106.65pt;z-index:251665408;visibility:visible;mso-wrap-style:square;mso-width-percent:0;mso-height-percent:0;mso-wrap-distance-left:9pt;mso-wrap-distance-top:0;mso-wrap-distance-right:9pt;mso-wrap-distance-bottom:0;mso-position-horizontal:absolute;mso-position-horizontal-relative:text;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" o:allowincell="f" filled="f" stroked="f">
                <v:textbox inset="0,0,0,1mm">
                  <w:txbxContent>
                    <w:tbl>
                      <w:tblPr>
                        <w:tblStyle w:val="Plaingrid"/>
                        <w:tblW w:w="4950" w:type="pct"/>
                        <w:tblLook w:val="04A0" w:firstRow="1" w:lastRow="0" w:firstColumn="1" w:lastColumn="0" w:noHBand="0" w:noVBand="1"/>
                      </w:tblPr>
                      <w:tblGrid>
                        <w:gridCol w:w="2627"/>
                        <w:gridCol w:w="2884"/>
                        <w:gridCol w:w="3533"/>
                      </w:tblGrid>
                      <w:tr w:rsidR="009144D7" w:rsidRPr="005A1F44" w:rsidTr="00606621">
                        <w:trPr>
                          <w:trHeight w:val="1554"/>
                        </w:trPr>
                        <w:tc>
                          <w:tcPr>
                            <w:tcW w:w="2635" w:type="dxa"/>
                            <w:vAlign w:val="bottom"/>
                          </w:tcPr>
                          <w:bookmarkStart w:id="6" w:name="Cover3" w:colFirst="0" w:colLast="2"/>
                          <w:bookmarkStart w:id="7" w:name="CoverTable2"/>
                          <w:p w:rsidR="009144D7" w:rsidRPr="005A1F44" w:rsidRDefault="009144D7" w:rsidP="008A19FD">
                            <w:pPr>
                              <w:pStyle w:val="Coverfooter"/>
                              <w:rPr>
                                <w:color w:val="FFFFFF"/>
                              </w:rPr>
                            </w:pPr>
                            <w:r w:rsidRPr="005A1F44">
                              <w:rPr>
                                <w:color w:val="FFFFFF"/>
                              </w:rPr>
                              <w:fldChar w:fldCharType="begin"/>
                            </w:r>
                            <w:r w:rsidRPr="005A1F44">
                              <w:rPr>
                                <w:color w:val="FFFFFF"/>
                              </w:rPr>
                              <w:instrText xml:space="preserve"> DOCPROPERTY  FooterClientAddress \* MERGEFORMAT </w:instrText>
                            </w:r>
                            <w:r w:rsidRPr="005A1F44">
                              <w:rPr>
                                <w:color w:val="FFFFFF"/>
                              </w:rPr>
                              <w:fldChar w:fldCharType="end"/>
                            </w:r>
                          </w:p>
                        </w:tc>
                        <w:tc>
                          <w:tcPr>
                            <w:tcW w:w="2894" w:type="dxa"/>
                            <w:vAlign w:val="bottom"/>
                          </w:tcPr>
                          <w:p w:rsidR="009144D7" w:rsidRPr="005A1F44" w:rsidRDefault="009144D7" w:rsidP="00BA5047">
                            <w:pPr>
                              <w:pStyle w:val="Coverfooter"/>
                              <w:jc w:val="center"/>
                              <w:rPr>
                                <w:b/>
                                <w:caps/>
                                <w:color w:val="FFFFFF"/>
                                <w:sz w:val="18"/>
                                <w:szCs w:val="18"/>
                              </w:rPr>
                            </w:pPr>
                            <w:r w:rsidRPr="005A1F44">
                              <w:rPr>
                                <w:b/>
                                <w:caps/>
                                <w:color w:val="FFFFFF"/>
                                <w:sz w:val="18"/>
                                <w:szCs w:val="18"/>
                              </w:rPr>
                              <w:fldChar w:fldCharType="begin"/>
                            </w:r>
                            <w:r w:rsidRPr="005A1F44">
                              <w:rPr>
                                <w:b/>
                                <w:caps/>
                                <w:color w:val="FFFFFF"/>
                                <w:sz w:val="18"/>
                                <w:szCs w:val="18"/>
                              </w:rPr>
                              <w:instrText xml:space="preserve"> DOCPROPERTY  ProtectiveMarking \* MERGEFORMAT </w:instrText>
                            </w:r>
                            <w:r w:rsidRPr="005A1F44">
                              <w:rPr>
                                <w:b/>
                                <w:caps/>
                                <w:color w:val="FFFFFF"/>
                                <w:sz w:val="18"/>
                                <w:szCs w:val="18"/>
                              </w:rPr>
                              <w:fldChar w:fldCharType="end"/>
                            </w:r>
                          </w:p>
                          <w:p w:rsidR="009144D7" w:rsidRPr="005A1F44" w:rsidRDefault="009144D7" w:rsidP="00BA5047">
                            <w:pPr>
                              <w:pStyle w:val="Coverfooter"/>
                              <w:jc w:val="center"/>
                              <w:rPr>
                                <w:color w:val="FFFFFF"/>
                              </w:rPr>
                            </w:pPr>
                            <w:r w:rsidRPr="005A1F44">
                              <w:rPr>
                                <w:color w:val="FFFFFF"/>
                              </w:rPr>
                              <w:fldChar w:fldCharType="begin"/>
                            </w:r>
                            <w:r w:rsidRPr="005A1F44">
                              <w:rPr>
                                <w:color w:val="FFFFFF"/>
                              </w:rPr>
                              <w:instrText xml:space="preserve"> DOCPROPERTY  Copies \* MERGEFORMAT </w:instrText>
                            </w:r>
                            <w:r w:rsidRPr="005A1F44">
                              <w:rPr>
                                <w:color w:val="FFFFFF"/>
                              </w:rPr>
                              <w:fldChar w:fldCharType="end"/>
                            </w:r>
                          </w:p>
                        </w:tc>
                        <w:tc>
                          <w:tcPr>
                            <w:tcW w:w="3545" w:type="dxa"/>
                            <w:vAlign w:val="bottom"/>
                          </w:tcPr>
                          <w:p w:rsidR="009144D7" w:rsidRPr="005A1F44" w:rsidRDefault="009144D7" w:rsidP="008A19FD">
                            <w:pPr>
                              <w:pStyle w:val="Coverfooter"/>
                              <w:rPr>
                                <w:color w:val="FFFFFF"/>
                              </w:rPr>
                            </w:pPr>
                          </w:p>
                          <w:p w:rsidR="009144D7" w:rsidRPr="005A1F44" w:rsidRDefault="009144D7" w:rsidP="008A19FD">
                            <w:pPr>
                              <w:pStyle w:val="Coverfooter"/>
                              <w:rPr>
                                <w:color w:val="FFFFFF"/>
                              </w:rPr>
                            </w:pPr>
                          </w:p>
                          <w:p w:rsidR="009144D7" w:rsidRPr="005A1F44" w:rsidRDefault="009144D7" w:rsidP="008A19FD">
                            <w:pPr>
                              <w:pStyle w:val="Coverfooter"/>
                              <w:rPr>
                                <w:color w:val="FFFFFF"/>
                              </w:rPr>
                            </w:pPr>
                          </w:p>
                        </w:tc>
                      </w:tr>
                      <w:bookmarkEnd w:id="6"/>
                      <w:bookmarkEnd w:id="7"/>
                    </w:tbl>
                    <w:p w:rsidR="009144D7" w:rsidRDefault="009144D7" w:rsidP="00DA79BC"/>
                  </w:txbxContent>
                </v:textbox>
                <w10:wrap anchory="page"/>
              </v:shape>
            </w:pict>
          </mc:Fallback>
        </mc:AlternateContent>
      </w:r>
      <w:r w:rsidR="000652F7">
        <w:rPr>
          <w:noProof/>
          <w:lang w:eastAsia="en-GB"/>
        </w:rPr>
        <mc:AlternateContent>
          <mc:Choice Requires="wps">
            <w:drawing>
              <wp:anchor distT="0" distB="0" distL="114300" distR="114300" simplePos="0" relativeHeight="251671552" behindDoc="0" locked="0" layoutInCell="0" allowOverlap="1" wp14:anchorId="109F1CA6" wp14:editId="431ACC38">
                <wp:simplePos x="0" y="0"/>
                <wp:positionH relativeFrom="margin">
                  <wp:posOffset>0</wp:posOffset>
                </wp:positionH>
                <wp:positionV relativeFrom="page">
                  <wp:posOffset>4009390</wp:posOffset>
                </wp:positionV>
                <wp:extent cx="5731510" cy="3081659"/>
                <wp:effectExtent l="0" t="0" r="2540" b="6985"/>
                <wp:wrapNone/>
                <wp:docPr id="7" name="CoverTitleBox"/>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1510" cy="3081659"/>
                        </a:xfrm>
                        <a:prstGeom prst="rect">
                          <a:avLst/>
                        </a:prstGeom>
                        <a:noFill/>
                        <a:ln w="9525">
                          <a:noFill/>
                          <a:miter lim="800000"/>
                          <a:headEnd/>
                          <a:tailEnd/>
                        </a:ln>
                      </wps:spPr>
                      <wps:txbx>
                        <w:txbxContent>
                          <w:tbl>
                            <w:tblPr>
                              <w:tblStyle w:val="Plaingrid"/>
                              <w:tblW w:w="3500" w:type="pct"/>
                              <w:tblLook w:val="04A0" w:firstRow="1" w:lastRow="0" w:firstColumn="1" w:lastColumn="0" w:noHBand="0" w:noVBand="1"/>
                            </w:tblPr>
                            <w:tblGrid>
                              <w:gridCol w:w="6395"/>
                            </w:tblGrid>
                            <w:tr w:rsidR="009144D7" w:rsidRPr="005A1F44" w:rsidTr="00E7679A">
                              <w:trPr>
                                <w:trHeight w:val="3547"/>
                              </w:trPr>
                              <w:tc>
                                <w:tcPr>
                                  <w:tcW w:w="8132" w:type="dxa"/>
                                </w:tcPr>
                                <w:p w:rsidR="009144D7" w:rsidRPr="005A1F44" w:rsidRDefault="009144D7" w:rsidP="00E7679A">
                                  <w:pPr>
                                    <w:pStyle w:val="Title"/>
                                    <w:rPr>
                                      <w:color w:val="FFFFFF"/>
                                    </w:rPr>
                                  </w:pPr>
                                  <w:bookmarkStart w:id="8" w:name="Cover1" w:colFirst="0" w:colLast="1"/>
                                  <w:bookmarkStart w:id="9" w:name="CoverTable1"/>
                                  <w:r>
                                    <w:rPr>
                                      <w:color w:val="FFFFFF"/>
                                    </w:rPr>
                                    <w:t xml:space="preserve">West Wittering Housing Needs Assessment (HNA) </w:t>
                                  </w:r>
                                </w:p>
                                <w:p w:rsidR="009144D7" w:rsidRPr="005A1F44" w:rsidRDefault="009144D7" w:rsidP="00F83749">
                                  <w:pPr>
                                    <w:pStyle w:val="Subtitleheading"/>
                                    <w:rPr>
                                      <w:color w:val="FFFFFF"/>
                                    </w:rPr>
                                  </w:pPr>
                                  <w:r w:rsidRPr="005A1F44">
                                    <w:rPr>
                                      <w:color w:val="FFFFFF"/>
                                    </w:rPr>
                                    <w:fldChar w:fldCharType="begin"/>
                                  </w:r>
                                  <w:r w:rsidRPr="005A1F44">
                                    <w:rPr>
                                      <w:color w:val="FFFFFF"/>
                                    </w:rPr>
                                    <w:instrText xml:space="preserve"> DOCPROPERTY  SubTitle \* MERGEFORMAT </w:instrText>
                                  </w:r>
                                  <w:r w:rsidRPr="005A1F44">
                                    <w:rPr>
                                      <w:color w:val="FFFFFF"/>
                                    </w:rPr>
                                    <w:fldChar w:fldCharType="end"/>
                                  </w:r>
                                </w:p>
                                <w:p w:rsidR="009144D7" w:rsidRPr="005A1F44" w:rsidRDefault="009144D7" w:rsidP="00F83749">
                                  <w:pPr>
                                    <w:pStyle w:val="Subtitleheading"/>
                                    <w:rPr>
                                      <w:color w:val="FFFFFF"/>
                                    </w:rPr>
                                  </w:pPr>
                                  <w:r w:rsidRPr="005A1F44">
                                    <w:rPr>
                                      <w:color w:val="FFFFFF"/>
                                    </w:rPr>
                                    <w:fldChar w:fldCharType="begin"/>
                                  </w:r>
                                  <w:r w:rsidRPr="005A1F44">
                                    <w:rPr>
                                      <w:color w:val="FFFFFF"/>
                                    </w:rPr>
                                    <w:instrText xml:space="preserve"> DOCPROPERTY  SupplementaryTitle \* MERGEFORMAT </w:instrText>
                                  </w:r>
                                  <w:r w:rsidRPr="005A1F44">
                                    <w:rPr>
                                      <w:color w:val="FFFFFF"/>
                                    </w:rPr>
                                    <w:fldChar w:fldCharType="end"/>
                                  </w:r>
                                </w:p>
                                <w:p w:rsidR="009144D7" w:rsidRPr="005A1F44" w:rsidRDefault="009144D7" w:rsidP="00E7679A">
                                  <w:pPr>
                                    <w:rPr>
                                      <w:color w:val="FFFFFF"/>
                                    </w:rPr>
                                  </w:pPr>
                                </w:p>
                                <w:p w:rsidR="009144D7" w:rsidRPr="005A1F44" w:rsidRDefault="009144D7" w:rsidP="00F83749">
                                  <w:pPr>
                                    <w:pStyle w:val="Subtitleheading"/>
                                    <w:rPr>
                                      <w:color w:val="FFFFFF"/>
                                    </w:rPr>
                                  </w:pPr>
                                  <w:r w:rsidRPr="005A1F44">
                                    <w:rPr>
                                      <w:color w:val="FFFFFF"/>
                                    </w:rPr>
                                    <w:fldChar w:fldCharType="begin"/>
                                  </w:r>
                                  <w:r w:rsidRPr="005A1F44">
                                    <w:rPr>
                                      <w:color w:val="FFFFFF"/>
                                    </w:rPr>
                                    <w:instrText xml:space="preserve"> DOCPROPERTY  ClientName \* MERGEFORMAT </w:instrText>
                                  </w:r>
                                  <w:r w:rsidRPr="005A1F44">
                                    <w:rPr>
                                      <w:color w:val="FFFFFF"/>
                                    </w:rPr>
                                    <w:fldChar w:fldCharType="end"/>
                                  </w:r>
                                </w:p>
                                <w:p w:rsidR="009144D7" w:rsidRPr="005A1F44" w:rsidRDefault="009144D7" w:rsidP="00347538">
                                  <w:pPr>
                                    <w:pStyle w:val="Subtitle"/>
                                    <w:rPr>
                                      <w:rFonts w:asciiTheme="minorHAnsi" w:hAnsiTheme="minorHAnsi" w:cstheme="minorHAnsi"/>
                                      <w:color w:val="FFFFFF"/>
                                    </w:rPr>
                                  </w:pPr>
                                  <w:r w:rsidRPr="005A1F44">
                                    <w:rPr>
                                      <w:rFonts w:asciiTheme="minorHAnsi" w:hAnsiTheme="minorHAnsi" w:cstheme="minorHAnsi"/>
                                      <w:color w:val="FFFFFF"/>
                                    </w:rPr>
                                    <w:fldChar w:fldCharType="begin"/>
                                  </w:r>
                                  <w:r w:rsidRPr="005A1F44">
                                    <w:rPr>
                                      <w:rFonts w:asciiTheme="minorHAnsi" w:hAnsiTheme="minorHAnsi" w:cstheme="minorHAnsi"/>
                                      <w:color w:val="FFFFFF"/>
                                    </w:rPr>
                                    <w:instrText xml:space="preserve"> DOCPROPERTY  TenderStage \* MERGEFORMAT </w:instrText>
                                  </w:r>
                                  <w:r w:rsidRPr="005A1F44">
                                    <w:rPr>
                                      <w:rFonts w:asciiTheme="minorHAnsi" w:hAnsiTheme="minorHAnsi" w:cstheme="minorHAnsi"/>
                                      <w:color w:val="FFFFFF"/>
                                    </w:rPr>
                                    <w:fldChar w:fldCharType="end"/>
                                  </w:r>
                                </w:p>
                                <w:p w:rsidR="009144D7" w:rsidRPr="005A1F44" w:rsidRDefault="009144D7" w:rsidP="00BA5047">
                                  <w:pPr>
                                    <w:rPr>
                                      <w:color w:val="FFFFFF"/>
                                    </w:rPr>
                                  </w:pPr>
                                </w:p>
                                <w:p w:rsidR="009144D7" w:rsidRPr="005A1F44" w:rsidRDefault="009144D7" w:rsidP="00BA5047">
                                  <w:pPr>
                                    <w:pStyle w:val="Coverfooter"/>
                                    <w:rPr>
                                      <w:color w:val="FFFFFF"/>
                                    </w:rPr>
                                  </w:pPr>
                                  <w:r w:rsidRPr="005A1F44">
                                    <w:rPr>
                                      <w:color w:val="FFFFFF"/>
                                    </w:rPr>
                                    <w:fldChar w:fldCharType="begin"/>
                                  </w:r>
                                  <w:r w:rsidRPr="005A1F44">
                                    <w:rPr>
                                      <w:color w:val="FFFFFF"/>
                                    </w:rPr>
                                    <w:instrText xml:space="preserve"> DOCPROPERTY  ProjectRef \* MERGEFORMAT </w:instrText>
                                  </w:r>
                                  <w:r w:rsidRPr="005A1F44">
                                    <w:rPr>
                                      <w:color w:val="FFFFFF"/>
                                    </w:rPr>
                                    <w:fldChar w:fldCharType="separate"/>
                                  </w:r>
                                  <w:r>
                                    <w:rPr>
                                      <w:color w:val="FFFFFF"/>
                                    </w:rPr>
                                    <w:t xml:space="preserve"> </w:t>
                                  </w:r>
                                  <w:r w:rsidRPr="005A1F44">
                                    <w:rPr>
                                      <w:color w:val="FFFFFF"/>
                                    </w:rPr>
                                    <w:fldChar w:fldCharType="end"/>
                                  </w:r>
                                </w:p>
                                <w:p w:rsidR="009144D7" w:rsidRPr="005A1F44" w:rsidRDefault="009144D7" w:rsidP="00BA5047">
                                  <w:pPr>
                                    <w:pStyle w:val="Coverfooter"/>
                                    <w:rPr>
                                      <w:color w:val="FFFFFF"/>
                                    </w:rPr>
                                  </w:pPr>
                                  <w:r w:rsidRPr="005A1F44">
                                    <w:rPr>
                                      <w:color w:val="FFFFFF"/>
                                    </w:rPr>
                                    <w:fldChar w:fldCharType="begin"/>
                                  </w:r>
                                  <w:r w:rsidRPr="005A1F44">
                                    <w:rPr>
                                      <w:color w:val="FFFFFF"/>
                                    </w:rPr>
                                    <w:instrText xml:space="preserve"> DOCPROPERTY  ProjectNumber \* MERGEFORMAT </w:instrText>
                                  </w:r>
                                  <w:r w:rsidRPr="005A1F44">
                                    <w:rPr>
                                      <w:color w:val="FFFFFF"/>
                                    </w:rPr>
                                    <w:fldChar w:fldCharType="separate"/>
                                  </w:r>
                                  <w:r>
                                    <w:rPr>
                                      <w:color w:val="FFFFFF"/>
                                    </w:rPr>
                                    <w:t xml:space="preserve"> </w:t>
                                  </w:r>
                                  <w:r w:rsidRPr="005A1F44">
                                    <w:rPr>
                                      <w:color w:val="FFFFFF"/>
                                    </w:rPr>
                                    <w:fldChar w:fldCharType="end"/>
                                  </w:r>
                                </w:p>
                                <w:p w:rsidR="009144D7" w:rsidRPr="005A1F44" w:rsidRDefault="009144D7" w:rsidP="00BA5047">
                                  <w:pPr>
                                    <w:pStyle w:val="Coverfooter"/>
                                    <w:rPr>
                                      <w:color w:val="FFFFFF"/>
                                    </w:rPr>
                                  </w:pPr>
                                  <w:r w:rsidRPr="005A1F44">
                                    <w:rPr>
                                      <w:color w:val="FFFFFF"/>
                                    </w:rPr>
                                    <w:fldChar w:fldCharType="begin"/>
                                  </w:r>
                                  <w:r w:rsidRPr="005A1F44">
                                    <w:rPr>
                                      <w:color w:val="FFFFFF"/>
                                    </w:rPr>
                                    <w:instrText xml:space="preserve"> DOCPROPERTY  DocumentReference \* MERGEFORMAT </w:instrText>
                                  </w:r>
                                  <w:r w:rsidRPr="005A1F44">
                                    <w:rPr>
                                      <w:color w:val="FFFFFF"/>
                                    </w:rPr>
                                    <w:fldChar w:fldCharType="end"/>
                                  </w:r>
                                </w:p>
                                <w:p w:rsidR="009144D7" w:rsidRPr="005A1F44" w:rsidRDefault="009144D7" w:rsidP="00BA5047">
                                  <w:pPr>
                                    <w:pStyle w:val="Coverfooter"/>
                                    <w:rPr>
                                      <w:color w:val="FFFFFF"/>
                                    </w:rPr>
                                  </w:pPr>
                                  <w:r>
                                    <w:rPr>
                                      <w:color w:val="FFFFFF"/>
                                    </w:rPr>
                                    <w:t>January 2018</w:t>
                                  </w:r>
                                </w:p>
                              </w:tc>
                            </w:tr>
                            <w:bookmarkEnd w:id="8"/>
                            <w:bookmarkEnd w:id="9"/>
                          </w:tbl>
                          <w:p w:rsidR="009144D7" w:rsidRDefault="009144D7" w:rsidP="00213392"/>
                        </w:txbxContent>
                      </wps:txbx>
                      <wps:bodyPr rot="0" vert="horz" wrap="square" lIns="0" tIns="0" rIns="0" bIns="36000" anchor="t" anchorCtr="0">
                        <a:noAutofit/>
                      </wps:bodyPr>
                    </wps:wsp>
                  </a:graphicData>
                </a:graphic>
                <wp14:sizeRelH relativeFrom="margin">
                  <wp14:pctWidth>0</wp14:pctWidth>
                </wp14:sizeRelH>
                <wp14:sizeRelV relativeFrom="page">
                  <wp14:pctHeight>50000</wp14:pctHeight>
                </wp14:sizeRelV>
              </wp:anchor>
            </w:drawing>
          </mc:Choice>
          <mc:Fallback>
            <w:pict>
              <v:shape id="CoverTitleBox" o:spid="_x0000_s1028" type="#_x0000_t202" style="position:absolute;margin-left:0;margin-top:315.7pt;width:451.3pt;height:242.65pt;z-index:251671552;visibility:visible;mso-wrap-style:square;mso-width-percent:0;mso-height-percent:500;mso-wrap-distance-left:9pt;mso-wrap-distance-top:0;mso-wrap-distance-right:9pt;mso-wrap-distance-bottom:0;mso-position-horizontal:absolute;mso-position-horizontal-relative:margin;mso-position-vertical:absolute;mso-position-vertical-relative:page;mso-width-percent:0;mso-height-percent:50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" o:allowincell="f" filled="f" stroked="f">
                <v:textbox inset="0,0,0,1mm">
                  <w:txbxContent>
                    <w:tbl>
                      <w:tblPr>
                        <w:tblStyle w:val="Plaingrid"/>
                        <w:tblW w:w="3500" w:type="pct"/>
                        <w:tblLook w:val="04A0" w:firstRow="1" w:lastRow="0" w:firstColumn="1" w:lastColumn="0" w:noHBand="0" w:noVBand="1"/>
                      </w:tblPr>
                      <w:tblGrid>
                        <w:gridCol w:w="6395"/>
                      </w:tblGrid>
                      <w:tr w:rsidR="009144D7" w:rsidRPr="005A1F44" w:rsidTr="00E7679A">
                        <w:trPr>
                          <w:trHeight w:val="3547"/>
                        </w:trPr>
                        <w:tc>
                          <w:tcPr>
                            <w:tcW w:w="8132" w:type="dxa"/>
                          </w:tcPr>
                          <w:p w:rsidR="009144D7" w:rsidRPr="005A1F44" w:rsidRDefault="009144D7" w:rsidP="00E7679A">
                            <w:pPr>
                              <w:pStyle w:val="Title"/>
                              <w:rPr>
                                <w:color w:val="FFFFFF"/>
                              </w:rPr>
                            </w:pPr>
                            <w:bookmarkStart w:id="10" w:name="Cover1" w:colFirst="0" w:colLast="1"/>
                            <w:bookmarkStart w:id="11" w:name="CoverTable1"/>
                            <w:r>
                              <w:rPr>
                                <w:color w:val="FFFFFF"/>
                              </w:rPr>
                              <w:t xml:space="preserve">West Wittering Housing Needs Assessment (HNA) </w:t>
                            </w:r>
                          </w:p>
                          <w:p w:rsidR="009144D7" w:rsidRPr="005A1F44" w:rsidRDefault="009144D7" w:rsidP="00F83749">
                            <w:pPr>
                              <w:pStyle w:val="Subtitleheading"/>
                              <w:rPr>
                                <w:color w:val="FFFFFF"/>
                              </w:rPr>
                            </w:pPr>
                            <w:r w:rsidRPr="005A1F44">
                              <w:rPr>
                                <w:color w:val="FFFFFF"/>
                              </w:rPr>
                              <w:fldChar w:fldCharType="begin"/>
                            </w:r>
                            <w:r w:rsidRPr="005A1F44">
                              <w:rPr>
                                <w:color w:val="FFFFFF"/>
                              </w:rPr>
                              <w:instrText xml:space="preserve"> DOCPROPERTY  SubTitle \* MERGEFORMAT </w:instrText>
                            </w:r>
                            <w:r w:rsidRPr="005A1F44">
                              <w:rPr>
                                <w:color w:val="FFFFFF"/>
                              </w:rPr>
                              <w:fldChar w:fldCharType="end"/>
                            </w:r>
                          </w:p>
                          <w:p w:rsidR="009144D7" w:rsidRPr="005A1F44" w:rsidRDefault="009144D7" w:rsidP="00F83749">
                            <w:pPr>
                              <w:pStyle w:val="Subtitleheading"/>
                              <w:rPr>
                                <w:color w:val="FFFFFF"/>
                              </w:rPr>
                            </w:pPr>
                            <w:r w:rsidRPr="005A1F44">
                              <w:rPr>
                                <w:color w:val="FFFFFF"/>
                              </w:rPr>
                              <w:fldChar w:fldCharType="begin"/>
                            </w:r>
                            <w:r w:rsidRPr="005A1F44">
                              <w:rPr>
                                <w:color w:val="FFFFFF"/>
                              </w:rPr>
                              <w:instrText xml:space="preserve"> DOCPROPERTY  SupplementaryTitle \* MERGEFORMAT </w:instrText>
                            </w:r>
                            <w:r w:rsidRPr="005A1F44">
                              <w:rPr>
                                <w:color w:val="FFFFFF"/>
                              </w:rPr>
                              <w:fldChar w:fldCharType="end"/>
                            </w:r>
                          </w:p>
                          <w:p w:rsidR="009144D7" w:rsidRPr="005A1F44" w:rsidRDefault="009144D7" w:rsidP="00E7679A">
                            <w:pPr>
                              <w:rPr>
                                <w:color w:val="FFFFFF"/>
                              </w:rPr>
                            </w:pPr>
                          </w:p>
                          <w:p w:rsidR="009144D7" w:rsidRPr="005A1F44" w:rsidRDefault="009144D7" w:rsidP="00F83749">
                            <w:pPr>
                              <w:pStyle w:val="Subtitleheading"/>
                              <w:rPr>
                                <w:color w:val="FFFFFF"/>
                              </w:rPr>
                            </w:pPr>
                            <w:r w:rsidRPr="005A1F44">
                              <w:rPr>
                                <w:color w:val="FFFFFF"/>
                              </w:rPr>
                              <w:fldChar w:fldCharType="begin"/>
                            </w:r>
                            <w:r w:rsidRPr="005A1F44">
                              <w:rPr>
                                <w:color w:val="FFFFFF"/>
                              </w:rPr>
                              <w:instrText xml:space="preserve"> DOCPROPERTY  ClientName \* MERGEFORMAT </w:instrText>
                            </w:r>
                            <w:r w:rsidRPr="005A1F44">
                              <w:rPr>
                                <w:color w:val="FFFFFF"/>
                              </w:rPr>
                              <w:fldChar w:fldCharType="end"/>
                            </w:r>
                          </w:p>
                          <w:p w:rsidR="009144D7" w:rsidRPr="005A1F44" w:rsidRDefault="009144D7" w:rsidP="00347538">
                            <w:pPr>
                              <w:pStyle w:val="Subtitle"/>
                              <w:rPr>
                                <w:rFonts w:asciiTheme="minorHAnsi" w:hAnsiTheme="minorHAnsi" w:cstheme="minorHAnsi"/>
                                <w:color w:val="FFFFFF"/>
                              </w:rPr>
                            </w:pPr>
                            <w:r w:rsidRPr="005A1F44">
                              <w:rPr>
                                <w:rFonts w:asciiTheme="minorHAnsi" w:hAnsiTheme="minorHAnsi" w:cstheme="minorHAnsi"/>
                                <w:color w:val="FFFFFF"/>
                              </w:rPr>
                              <w:fldChar w:fldCharType="begin"/>
                            </w:r>
                            <w:r w:rsidRPr="005A1F44">
                              <w:rPr>
                                <w:rFonts w:asciiTheme="minorHAnsi" w:hAnsiTheme="minorHAnsi" w:cstheme="minorHAnsi"/>
                                <w:color w:val="FFFFFF"/>
                              </w:rPr>
                              <w:instrText xml:space="preserve"> DOCPROPERTY  TenderStage \* MERGEFORMAT </w:instrText>
                            </w:r>
                            <w:r w:rsidRPr="005A1F44">
                              <w:rPr>
                                <w:rFonts w:asciiTheme="minorHAnsi" w:hAnsiTheme="minorHAnsi" w:cstheme="minorHAnsi"/>
                                <w:color w:val="FFFFFF"/>
                              </w:rPr>
                              <w:fldChar w:fldCharType="end"/>
                            </w:r>
                          </w:p>
                          <w:p w:rsidR="009144D7" w:rsidRPr="005A1F44" w:rsidRDefault="009144D7" w:rsidP="00BA5047">
                            <w:pPr>
                              <w:rPr>
                                <w:color w:val="FFFFFF"/>
                              </w:rPr>
                            </w:pPr>
                          </w:p>
                          <w:p w:rsidR="009144D7" w:rsidRPr="005A1F44" w:rsidRDefault="009144D7" w:rsidP="00BA5047">
                            <w:pPr>
                              <w:pStyle w:val="Coverfooter"/>
                              <w:rPr>
                                <w:color w:val="FFFFFF"/>
                              </w:rPr>
                            </w:pPr>
                            <w:r w:rsidRPr="005A1F44">
                              <w:rPr>
                                <w:color w:val="FFFFFF"/>
                              </w:rPr>
                              <w:fldChar w:fldCharType="begin"/>
                            </w:r>
                            <w:r w:rsidRPr="005A1F44">
                              <w:rPr>
                                <w:color w:val="FFFFFF"/>
                              </w:rPr>
                              <w:instrText xml:space="preserve"> DOCPROPERTY  ProjectRef \* MERGEFORMAT </w:instrText>
                            </w:r>
                            <w:r w:rsidRPr="005A1F44">
                              <w:rPr>
                                <w:color w:val="FFFFFF"/>
                              </w:rPr>
                              <w:fldChar w:fldCharType="separate"/>
                            </w:r>
                            <w:r>
                              <w:rPr>
                                <w:color w:val="FFFFFF"/>
                              </w:rPr>
                              <w:t xml:space="preserve"> </w:t>
                            </w:r>
                            <w:r w:rsidRPr="005A1F44">
                              <w:rPr>
                                <w:color w:val="FFFFFF"/>
                              </w:rPr>
                              <w:fldChar w:fldCharType="end"/>
                            </w:r>
                          </w:p>
                          <w:p w:rsidR="009144D7" w:rsidRPr="005A1F44" w:rsidRDefault="009144D7" w:rsidP="00BA5047">
                            <w:pPr>
                              <w:pStyle w:val="Coverfooter"/>
                              <w:rPr>
                                <w:color w:val="FFFFFF"/>
                              </w:rPr>
                            </w:pPr>
                            <w:r w:rsidRPr="005A1F44">
                              <w:rPr>
                                <w:color w:val="FFFFFF"/>
                              </w:rPr>
                              <w:fldChar w:fldCharType="begin"/>
                            </w:r>
                            <w:r w:rsidRPr="005A1F44">
                              <w:rPr>
                                <w:color w:val="FFFFFF"/>
                              </w:rPr>
                              <w:instrText xml:space="preserve"> DOCPROPERTY  ProjectNumber \* MERGEFORMAT </w:instrText>
                            </w:r>
                            <w:r w:rsidRPr="005A1F44">
                              <w:rPr>
                                <w:color w:val="FFFFFF"/>
                              </w:rPr>
                              <w:fldChar w:fldCharType="separate"/>
                            </w:r>
                            <w:r>
                              <w:rPr>
                                <w:color w:val="FFFFFF"/>
                              </w:rPr>
                              <w:t xml:space="preserve"> </w:t>
                            </w:r>
                            <w:r w:rsidRPr="005A1F44">
                              <w:rPr>
                                <w:color w:val="FFFFFF"/>
                              </w:rPr>
                              <w:fldChar w:fldCharType="end"/>
                            </w:r>
                          </w:p>
                          <w:p w:rsidR="009144D7" w:rsidRPr="005A1F44" w:rsidRDefault="009144D7" w:rsidP="00BA5047">
                            <w:pPr>
                              <w:pStyle w:val="Coverfooter"/>
                              <w:rPr>
                                <w:color w:val="FFFFFF"/>
                              </w:rPr>
                            </w:pPr>
                            <w:r w:rsidRPr="005A1F44">
                              <w:rPr>
                                <w:color w:val="FFFFFF"/>
                              </w:rPr>
                              <w:fldChar w:fldCharType="begin"/>
                            </w:r>
                            <w:r w:rsidRPr="005A1F44">
                              <w:rPr>
                                <w:color w:val="FFFFFF"/>
                              </w:rPr>
                              <w:instrText xml:space="preserve"> DOCPROPERTY  DocumentReference \* MERGEFORMAT </w:instrText>
                            </w:r>
                            <w:r w:rsidRPr="005A1F44">
                              <w:rPr>
                                <w:color w:val="FFFFFF"/>
                              </w:rPr>
                              <w:fldChar w:fldCharType="end"/>
                            </w:r>
                          </w:p>
                          <w:p w:rsidR="009144D7" w:rsidRPr="005A1F44" w:rsidRDefault="009144D7" w:rsidP="00BA5047">
                            <w:pPr>
                              <w:pStyle w:val="Coverfooter"/>
                              <w:rPr>
                                <w:color w:val="FFFFFF"/>
                              </w:rPr>
                            </w:pPr>
                            <w:r>
                              <w:rPr>
                                <w:color w:val="FFFFFF"/>
                              </w:rPr>
                              <w:t>January 2018</w:t>
                            </w:r>
                          </w:p>
                        </w:tc>
                      </w:tr>
                      <w:bookmarkEnd w:id="10"/>
                      <w:bookmarkEnd w:id="11"/>
                    </w:tbl>
                    <w:p w:rsidR="009144D7" w:rsidRDefault="009144D7" w:rsidP="00213392"/>
                  </w:txbxContent>
                </v:textbox>
                <w10:wrap anchorx="margin" anchory="page"/>
              </v:shape>
            </w:pict>
          </mc:Fallback>
        </mc:AlternateContent>
      </w:r>
    </w:p>
    <w:p w:rsidR="00F12DD7" w:rsidRDefault="00F12DD7" w:rsidP="00F12DD7">
      <w:pPr>
        <w:pStyle w:val="BodyText"/>
        <w:sectPr w:rsidR="00F12DD7" w:rsidSect="004E43B0">
          <w:pgSz w:w="11906" w:h="16838" w:code="9"/>
          <w:pgMar w:top="1134" w:right="1440" w:bottom="851" w:left="1440" w:header="709" w:footer="284" w:gutter="0"/>
          <w:cols w:space="708"/>
          <w:docGrid w:linePitch="360"/>
        </w:sectPr>
      </w:pPr>
    </w:p>
    <w:p w:rsidR="00067457" w:rsidRPr="00542F08" w:rsidRDefault="005A1F44" w:rsidP="001A11B6">
      <w:pPr>
        <w:pStyle w:val="Heading"/>
        <w:pageBreakBefore/>
      </w:pPr>
      <w:bookmarkStart w:id="12" w:name="Text_QualityInformation"/>
      <w:r>
        <w:lastRenderedPageBreak/>
        <w:t>Quality information</w:t>
      </w:r>
      <w:bookmarkEnd w:id="12"/>
    </w:p>
    <w:tbl>
      <w:tblPr>
        <w:tblStyle w:val="AECOMtable"/>
        <w:tblW w:w="4950" w:type="pct"/>
        <w:tblLook w:val="04A0" w:firstRow="1" w:lastRow="0" w:firstColumn="1" w:lastColumn="0" w:noHBand="0" w:noVBand="1"/>
      </w:tblPr>
      <w:tblGrid>
        <w:gridCol w:w="2552"/>
        <w:gridCol w:w="425"/>
        <w:gridCol w:w="2835"/>
        <w:gridCol w:w="425"/>
        <w:gridCol w:w="2811"/>
      </w:tblGrid>
      <w:tr w:rsidR="00067457" w:rsidTr="00133853">
        <w:trPr>
          <w:cnfStyle w:val="100000000000" w:firstRow="1" w:lastRow="0" w:firstColumn="0" w:lastColumn="0" w:oddVBand="0" w:evenVBand="0" w:oddHBand="0" w:evenHBand="0" w:firstRowFirstColumn="0" w:firstRowLastColumn="0" w:lastRowFirstColumn="0" w:lastRowLastColumn="0"/>
        </w:trPr>
        <w:tc>
          <w:tcPr>
            <w:tcW w:w="2552" w:type="dxa"/>
          </w:tcPr>
          <w:p w:rsidR="00067457" w:rsidRDefault="005A1F44" w:rsidP="00AA045B">
            <w:pPr>
              <w:pStyle w:val="Tabletext"/>
            </w:pPr>
            <w:bookmarkStart w:id="13" w:name="Text_PreparedBy"/>
            <w:r>
              <w:t>Prepared by</w:t>
            </w:r>
            <w:bookmarkEnd w:id="13"/>
          </w:p>
        </w:tc>
        <w:tc>
          <w:tcPr>
            <w:tcW w:w="425" w:type="dxa"/>
            <w:tcBorders>
              <w:bottom w:val="nil"/>
            </w:tcBorders>
          </w:tcPr>
          <w:p w:rsidR="00067457" w:rsidRDefault="00067457" w:rsidP="00AA045B">
            <w:pPr>
              <w:pStyle w:val="Tabletext"/>
            </w:pPr>
          </w:p>
        </w:tc>
        <w:tc>
          <w:tcPr>
            <w:tcW w:w="2835" w:type="dxa"/>
          </w:tcPr>
          <w:p w:rsidR="00067457" w:rsidRDefault="005A1F44" w:rsidP="00AA045B">
            <w:pPr>
              <w:pStyle w:val="Tabletext"/>
            </w:pPr>
            <w:bookmarkStart w:id="14" w:name="Text_CheckedBy"/>
            <w:r>
              <w:t>Checked by</w:t>
            </w:r>
            <w:bookmarkEnd w:id="14"/>
          </w:p>
        </w:tc>
        <w:tc>
          <w:tcPr>
            <w:tcW w:w="425" w:type="dxa"/>
            <w:tcBorders>
              <w:bottom w:val="nil"/>
            </w:tcBorders>
          </w:tcPr>
          <w:p w:rsidR="00067457" w:rsidRDefault="00067457" w:rsidP="00AA045B">
            <w:pPr>
              <w:pStyle w:val="Tabletext"/>
            </w:pPr>
          </w:p>
        </w:tc>
        <w:tc>
          <w:tcPr>
            <w:tcW w:w="2811" w:type="dxa"/>
          </w:tcPr>
          <w:p w:rsidR="00067457" w:rsidRDefault="005A1F44" w:rsidP="00AA045B">
            <w:pPr>
              <w:pStyle w:val="Tabletext"/>
            </w:pPr>
            <w:bookmarkStart w:id="15" w:name="Text_ApprovedBy"/>
            <w:r>
              <w:t>Approved by</w:t>
            </w:r>
            <w:bookmarkEnd w:id="15"/>
          </w:p>
        </w:tc>
      </w:tr>
      <w:tr w:rsidR="00067457" w:rsidTr="00133853">
        <w:tc>
          <w:tcPr>
            <w:tcW w:w="2552" w:type="dxa"/>
          </w:tcPr>
          <w:p w:rsidR="00067457" w:rsidRDefault="00381A26" w:rsidP="00AA045B">
            <w:pPr>
              <w:pStyle w:val="Tabletext"/>
            </w:pPr>
            <w:r>
              <w:t>Ivan Tennant, Principal Planner</w:t>
            </w:r>
          </w:p>
          <w:p w:rsidR="00381A26" w:rsidRDefault="00381A26" w:rsidP="00AA045B">
            <w:pPr>
              <w:pStyle w:val="Tabletext"/>
            </w:pPr>
            <w:r>
              <w:t>Guillaume Rey, Planning Intern</w:t>
            </w:r>
          </w:p>
        </w:tc>
        <w:tc>
          <w:tcPr>
            <w:tcW w:w="425" w:type="dxa"/>
            <w:tcBorders>
              <w:top w:val="nil"/>
              <w:bottom w:val="nil"/>
            </w:tcBorders>
          </w:tcPr>
          <w:p w:rsidR="00067457" w:rsidRDefault="00067457" w:rsidP="00AA045B">
            <w:pPr>
              <w:pStyle w:val="Tabletext"/>
            </w:pPr>
          </w:p>
        </w:tc>
        <w:tc>
          <w:tcPr>
            <w:tcW w:w="2835" w:type="dxa"/>
          </w:tcPr>
          <w:p w:rsidR="00067457" w:rsidRDefault="00381A26" w:rsidP="00AA045B">
            <w:pPr>
              <w:pStyle w:val="Tabletext"/>
            </w:pPr>
            <w:r>
              <w:t xml:space="preserve">Steve Smith, Technical Director </w:t>
            </w:r>
          </w:p>
        </w:tc>
        <w:tc>
          <w:tcPr>
            <w:tcW w:w="425" w:type="dxa"/>
            <w:tcBorders>
              <w:top w:val="nil"/>
              <w:bottom w:val="nil"/>
            </w:tcBorders>
          </w:tcPr>
          <w:p w:rsidR="00067457" w:rsidRDefault="00067457" w:rsidP="00AA045B">
            <w:pPr>
              <w:pStyle w:val="Tabletext"/>
            </w:pPr>
          </w:p>
        </w:tc>
        <w:tc>
          <w:tcPr>
            <w:tcW w:w="2811" w:type="dxa"/>
          </w:tcPr>
          <w:p w:rsidR="00067457" w:rsidRDefault="00067457" w:rsidP="00AA045B">
            <w:pPr>
              <w:pStyle w:val="Tabletext"/>
            </w:pPr>
          </w:p>
        </w:tc>
      </w:tr>
      <w:tr w:rsidR="00067457" w:rsidTr="00133853">
        <w:tc>
          <w:tcPr>
            <w:tcW w:w="2552" w:type="dxa"/>
          </w:tcPr>
          <w:p w:rsidR="00067457" w:rsidRDefault="00067457" w:rsidP="00AA045B">
            <w:pPr>
              <w:pStyle w:val="Tabletext"/>
            </w:pPr>
            <w:bookmarkStart w:id="16" w:name="Contact2"/>
            <w:bookmarkEnd w:id="16"/>
          </w:p>
        </w:tc>
        <w:tc>
          <w:tcPr>
            <w:tcW w:w="425" w:type="dxa"/>
            <w:tcBorders>
              <w:top w:val="nil"/>
              <w:bottom w:val="nil"/>
            </w:tcBorders>
          </w:tcPr>
          <w:p w:rsidR="00067457" w:rsidRDefault="00067457" w:rsidP="00AA045B">
            <w:pPr>
              <w:pStyle w:val="Tabletext"/>
            </w:pPr>
          </w:p>
        </w:tc>
        <w:tc>
          <w:tcPr>
            <w:tcW w:w="2835" w:type="dxa"/>
          </w:tcPr>
          <w:p w:rsidR="00067457" w:rsidRDefault="00067457" w:rsidP="00AA045B">
            <w:pPr>
              <w:pStyle w:val="Tabletext"/>
            </w:pPr>
            <w:bookmarkStart w:id="17" w:name="CheckedBy"/>
            <w:bookmarkEnd w:id="17"/>
          </w:p>
        </w:tc>
        <w:tc>
          <w:tcPr>
            <w:tcW w:w="425" w:type="dxa"/>
            <w:tcBorders>
              <w:top w:val="nil"/>
              <w:bottom w:val="nil"/>
            </w:tcBorders>
          </w:tcPr>
          <w:p w:rsidR="00067457" w:rsidRDefault="00067457" w:rsidP="00AA045B">
            <w:pPr>
              <w:pStyle w:val="Tabletext"/>
            </w:pPr>
          </w:p>
        </w:tc>
        <w:tc>
          <w:tcPr>
            <w:tcW w:w="2811" w:type="dxa"/>
          </w:tcPr>
          <w:p w:rsidR="00067457" w:rsidRDefault="00067457" w:rsidP="00AA045B">
            <w:pPr>
              <w:pStyle w:val="Tabletext"/>
            </w:pPr>
            <w:bookmarkStart w:id="18" w:name="ApprovedBy"/>
            <w:bookmarkEnd w:id="18"/>
          </w:p>
        </w:tc>
      </w:tr>
    </w:tbl>
    <w:p w:rsidR="00067457" w:rsidRDefault="00067457" w:rsidP="00AA045B">
      <w:pPr>
        <w:pStyle w:val="BodyText"/>
      </w:pPr>
    </w:p>
    <w:p w:rsidR="00067457" w:rsidRDefault="00067457" w:rsidP="00067457"/>
    <w:p w:rsidR="00067457" w:rsidRDefault="005A1F44" w:rsidP="00067457">
      <w:pPr>
        <w:pStyle w:val="Heading"/>
      </w:pPr>
      <w:bookmarkStart w:id="19" w:name="Text_RevisionHistory"/>
      <w:r>
        <w:t xml:space="preserve">Revision </w:t>
      </w:r>
      <w:r w:rsidR="00167804">
        <w:t>h</w:t>
      </w:r>
      <w:r>
        <w:t>istory</w:t>
      </w:r>
      <w:bookmarkEnd w:id="19"/>
    </w:p>
    <w:tbl>
      <w:tblPr>
        <w:tblStyle w:val="AECOMtable"/>
        <w:tblW w:w="4950" w:type="pct"/>
        <w:tblLook w:val="04A0" w:firstRow="1" w:lastRow="0" w:firstColumn="1" w:lastColumn="0" w:noHBand="0" w:noVBand="1"/>
      </w:tblPr>
      <w:tblGrid>
        <w:gridCol w:w="1508"/>
        <w:gridCol w:w="1508"/>
        <w:gridCol w:w="1508"/>
        <w:gridCol w:w="1508"/>
        <w:gridCol w:w="1508"/>
        <w:gridCol w:w="1508"/>
      </w:tblGrid>
      <w:tr w:rsidR="00067457" w:rsidTr="00133853">
        <w:trPr>
          <w:cnfStyle w:val="100000000000" w:firstRow="1" w:lastRow="0" w:firstColumn="0" w:lastColumn="0" w:oddVBand="0" w:evenVBand="0" w:oddHBand="0" w:evenHBand="0" w:firstRowFirstColumn="0" w:firstRowLastColumn="0" w:lastRowFirstColumn="0" w:lastRowLastColumn="0"/>
        </w:trPr>
        <w:tc>
          <w:tcPr>
            <w:tcW w:w="1508" w:type="dxa"/>
          </w:tcPr>
          <w:p w:rsidR="00067457" w:rsidRDefault="00067457" w:rsidP="00AA045B">
            <w:pPr>
              <w:pStyle w:val="Tabletext"/>
            </w:pPr>
            <w:bookmarkStart w:id="20" w:name="Text_Revision"/>
            <w:r>
              <w:t>Revision</w:t>
            </w:r>
            <w:bookmarkEnd w:id="20"/>
          </w:p>
        </w:tc>
        <w:tc>
          <w:tcPr>
            <w:tcW w:w="1508" w:type="dxa"/>
          </w:tcPr>
          <w:p w:rsidR="00067457" w:rsidRDefault="005A1F44" w:rsidP="00AA045B">
            <w:pPr>
              <w:pStyle w:val="Tabletext"/>
              <w:rPr>
                <w:b w:val="0"/>
              </w:rPr>
            </w:pPr>
            <w:bookmarkStart w:id="21" w:name="Text_RevisionDate"/>
            <w:r>
              <w:t>Revision date</w:t>
            </w:r>
            <w:bookmarkEnd w:id="21"/>
          </w:p>
        </w:tc>
        <w:tc>
          <w:tcPr>
            <w:tcW w:w="1508" w:type="dxa"/>
          </w:tcPr>
          <w:p w:rsidR="00067457" w:rsidRDefault="00067457" w:rsidP="00AA045B">
            <w:pPr>
              <w:pStyle w:val="Tabletext"/>
            </w:pPr>
            <w:bookmarkStart w:id="22" w:name="Text_Details"/>
            <w:r>
              <w:t>Details</w:t>
            </w:r>
            <w:bookmarkEnd w:id="22"/>
          </w:p>
        </w:tc>
        <w:tc>
          <w:tcPr>
            <w:tcW w:w="1508" w:type="dxa"/>
          </w:tcPr>
          <w:p w:rsidR="00067457" w:rsidRDefault="00067457" w:rsidP="00AA045B">
            <w:pPr>
              <w:pStyle w:val="Tabletext"/>
            </w:pPr>
            <w:bookmarkStart w:id="23" w:name="Text_Authorized"/>
            <w:r>
              <w:t>Authori</w:t>
            </w:r>
            <w:r w:rsidR="00167804">
              <w:t>s</w:t>
            </w:r>
            <w:r>
              <w:t>ed</w:t>
            </w:r>
            <w:bookmarkEnd w:id="23"/>
          </w:p>
        </w:tc>
        <w:tc>
          <w:tcPr>
            <w:tcW w:w="1508" w:type="dxa"/>
          </w:tcPr>
          <w:p w:rsidR="00067457" w:rsidRPr="009052D1" w:rsidRDefault="00067457" w:rsidP="00AA045B">
            <w:pPr>
              <w:pStyle w:val="Tabletext"/>
            </w:pPr>
            <w:bookmarkStart w:id="24" w:name="Text_Name"/>
            <w:r w:rsidRPr="009052D1">
              <w:t>Name</w:t>
            </w:r>
            <w:bookmarkEnd w:id="24"/>
          </w:p>
        </w:tc>
        <w:tc>
          <w:tcPr>
            <w:tcW w:w="1508" w:type="dxa"/>
          </w:tcPr>
          <w:p w:rsidR="00067457" w:rsidRDefault="00067457" w:rsidP="00AA045B">
            <w:pPr>
              <w:pStyle w:val="Tabletext"/>
            </w:pPr>
            <w:bookmarkStart w:id="25" w:name="Text_Position"/>
            <w:r>
              <w:t>Position</w:t>
            </w:r>
            <w:bookmarkEnd w:id="25"/>
          </w:p>
        </w:tc>
      </w:tr>
      <w:tr w:rsidR="00067457" w:rsidRPr="00542F08" w:rsidTr="00133853">
        <w:tc>
          <w:tcPr>
            <w:tcW w:w="1508" w:type="dxa"/>
          </w:tcPr>
          <w:p w:rsidR="00067457" w:rsidRPr="00542F08" w:rsidRDefault="00067457" w:rsidP="00AA045B">
            <w:pPr>
              <w:pStyle w:val="Tabletext"/>
            </w:pPr>
            <w:bookmarkStart w:id="26" w:name="RevisionStatus"/>
            <w:bookmarkEnd w:id="26"/>
          </w:p>
        </w:tc>
        <w:tc>
          <w:tcPr>
            <w:tcW w:w="1508" w:type="dxa"/>
          </w:tcPr>
          <w:p w:rsidR="00067457" w:rsidRDefault="00067457" w:rsidP="00AA045B">
            <w:pPr>
              <w:pStyle w:val="Tabletext"/>
            </w:pPr>
          </w:p>
        </w:tc>
        <w:tc>
          <w:tcPr>
            <w:tcW w:w="1508" w:type="dxa"/>
          </w:tcPr>
          <w:p w:rsidR="00067457" w:rsidRDefault="00067457" w:rsidP="00AA045B">
            <w:pPr>
              <w:pStyle w:val="Tabletext"/>
            </w:pPr>
          </w:p>
        </w:tc>
        <w:tc>
          <w:tcPr>
            <w:tcW w:w="1508" w:type="dxa"/>
          </w:tcPr>
          <w:p w:rsidR="00067457" w:rsidRPr="00542F08" w:rsidRDefault="00067457" w:rsidP="00AA045B">
            <w:pPr>
              <w:pStyle w:val="Tabletext"/>
            </w:pPr>
          </w:p>
        </w:tc>
        <w:tc>
          <w:tcPr>
            <w:tcW w:w="1508" w:type="dxa"/>
          </w:tcPr>
          <w:p w:rsidR="00067457" w:rsidRDefault="00067457" w:rsidP="00AA045B">
            <w:pPr>
              <w:pStyle w:val="Tabletext"/>
            </w:pPr>
          </w:p>
        </w:tc>
        <w:tc>
          <w:tcPr>
            <w:tcW w:w="1508" w:type="dxa"/>
          </w:tcPr>
          <w:p w:rsidR="00067457" w:rsidRDefault="00067457" w:rsidP="00AA045B">
            <w:pPr>
              <w:pStyle w:val="Tabletext"/>
            </w:pPr>
          </w:p>
        </w:tc>
      </w:tr>
      <w:tr w:rsidR="00067457" w:rsidRPr="00542F08" w:rsidTr="00133853">
        <w:tc>
          <w:tcPr>
            <w:tcW w:w="1508" w:type="dxa"/>
          </w:tcPr>
          <w:p w:rsidR="00067457" w:rsidRPr="00542F08" w:rsidRDefault="00067457" w:rsidP="00AA045B">
            <w:pPr>
              <w:pStyle w:val="Tabletext"/>
            </w:pPr>
          </w:p>
        </w:tc>
        <w:tc>
          <w:tcPr>
            <w:tcW w:w="1508" w:type="dxa"/>
          </w:tcPr>
          <w:p w:rsidR="00067457" w:rsidRDefault="00067457" w:rsidP="00AA045B">
            <w:pPr>
              <w:pStyle w:val="Tabletext"/>
            </w:pPr>
          </w:p>
        </w:tc>
        <w:tc>
          <w:tcPr>
            <w:tcW w:w="1508" w:type="dxa"/>
          </w:tcPr>
          <w:p w:rsidR="00067457" w:rsidRDefault="00067457" w:rsidP="00AA045B">
            <w:pPr>
              <w:pStyle w:val="Tabletext"/>
            </w:pPr>
          </w:p>
        </w:tc>
        <w:tc>
          <w:tcPr>
            <w:tcW w:w="1508" w:type="dxa"/>
          </w:tcPr>
          <w:p w:rsidR="00067457" w:rsidRPr="00542F08" w:rsidRDefault="00067457" w:rsidP="00AA045B">
            <w:pPr>
              <w:pStyle w:val="Tabletext"/>
            </w:pPr>
          </w:p>
        </w:tc>
        <w:tc>
          <w:tcPr>
            <w:tcW w:w="1508" w:type="dxa"/>
          </w:tcPr>
          <w:p w:rsidR="00067457" w:rsidRDefault="00067457" w:rsidP="00AA045B">
            <w:pPr>
              <w:pStyle w:val="Tabletext"/>
            </w:pPr>
          </w:p>
        </w:tc>
        <w:tc>
          <w:tcPr>
            <w:tcW w:w="1508" w:type="dxa"/>
          </w:tcPr>
          <w:p w:rsidR="00067457" w:rsidRDefault="00067457" w:rsidP="00AA045B">
            <w:pPr>
              <w:pStyle w:val="Tabletext"/>
            </w:pPr>
          </w:p>
        </w:tc>
      </w:tr>
      <w:tr w:rsidR="00067457" w:rsidRPr="00542F08" w:rsidTr="00133853">
        <w:tc>
          <w:tcPr>
            <w:tcW w:w="1508" w:type="dxa"/>
            <w:tcBorders>
              <w:bottom w:val="single" w:sz="4" w:space="0" w:color="auto"/>
            </w:tcBorders>
          </w:tcPr>
          <w:p w:rsidR="00067457" w:rsidRPr="00542F08" w:rsidRDefault="00067457" w:rsidP="00AA045B">
            <w:pPr>
              <w:pStyle w:val="Tabletext"/>
            </w:pPr>
          </w:p>
        </w:tc>
        <w:tc>
          <w:tcPr>
            <w:tcW w:w="1508" w:type="dxa"/>
            <w:tcBorders>
              <w:bottom w:val="single" w:sz="4" w:space="0" w:color="auto"/>
            </w:tcBorders>
          </w:tcPr>
          <w:p w:rsidR="00067457" w:rsidRDefault="00067457" w:rsidP="00AA045B">
            <w:pPr>
              <w:pStyle w:val="Tabletext"/>
            </w:pPr>
          </w:p>
        </w:tc>
        <w:tc>
          <w:tcPr>
            <w:tcW w:w="1508" w:type="dxa"/>
            <w:tcBorders>
              <w:bottom w:val="single" w:sz="4" w:space="0" w:color="auto"/>
            </w:tcBorders>
          </w:tcPr>
          <w:p w:rsidR="00067457" w:rsidRDefault="00067457" w:rsidP="00AA045B">
            <w:pPr>
              <w:pStyle w:val="Tabletext"/>
            </w:pPr>
          </w:p>
        </w:tc>
        <w:tc>
          <w:tcPr>
            <w:tcW w:w="1508" w:type="dxa"/>
            <w:tcBorders>
              <w:bottom w:val="single" w:sz="4" w:space="0" w:color="auto"/>
            </w:tcBorders>
          </w:tcPr>
          <w:p w:rsidR="00067457" w:rsidRPr="00542F08" w:rsidRDefault="00067457" w:rsidP="00AA045B">
            <w:pPr>
              <w:pStyle w:val="Tabletext"/>
            </w:pPr>
          </w:p>
        </w:tc>
        <w:tc>
          <w:tcPr>
            <w:tcW w:w="1508" w:type="dxa"/>
            <w:tcBorders>
              <w:bottom w:val="single" w:sz="4" w:space="0" w:color="auto"/>
            </w:tcBorders>
          </w:tcPr>
          <w:p w:rsidR="00067457" w:rsidRDefault="00067457" w:rsidP="00AA045B">
            <w:pPr>
              <w:pStyle w:val="Tabletext"/>
            </w:pPr>
          </w:p>
        </w:tc>
        <w:tc>
          <w:tcPr>
            <w:tcW w:w="1508" w:type="dxa"/>
            <w:tcBorders>
              <w:bottom w:val="single" w:sz="4" w:space="0" w:color="auto"/>
            </w:tcBorders>
          </w:tcPr>
          <w:p w:rsidR="00067457" w:rsidRDefault="00067457" w:rsidP="00AA045B">
            <w:pPr>
              <w:pStyle w:val="Tabletext"/>
            </w:pPr>
          </w:p>
        </w:tc>
      </w:tr>
      <w:tr w:rsidR="00067457" w:rsidRPr="00542F08" w:rsidTr="00133853">
        <w:tc>
          <w:tcPr>
            <w:tcW w:w="1508" w:type="dxa"/>
            <w:tcBorders>
              <w:top w:val="single" w:sz="4" w:space="0" w:color="auto"/>
              <w:bottom w:val="single" w:sz="4" w:space="0" w:color="auto"/>
            </w:tcBorders>
          </w:tcPr>
          <w:p w:rsidR="00067457" w:rsidRPr="00542F08" w:rsidRDefault="00067457" w:rsidP="00AA045B">
            <w:pPr>
              <w:pStyle w:val="Tabletext"/>
            </w:pPr>
          </w:p>
        </w:tc>
        <w:tc>
          <w:tcPr>
            <w:tcW w:w="1508" w:type="dxa"/>
            <w:tcBorders>
              <w:top w:val="single" w:sz="4" w:space="0" w:color="auto"/>
              <w:bottom w:val="single" w:sz="4" w:space="0" w:color="auto"/>
            </w:tcBorders>
          </w:tcPr>
          <w:p w:rsidR="00067457" w:rsidRDefault="00067457" w:rsidP="00AA045B">
            <w:pPr>
              <w:pStyle w:val="Tabletext"/>
            </w:pPr>
          </w:p>
        </w:tc>
        <w:tc>
          <w:tcPr>
            <w:tcW w:w="1508" w:type="dxa"/>
            <w:tcBorders>
              <w:top w:val="single" w:sz="4" w:space="0" w:color="auto"/>
              <w:bottom w:val="single" w:sz="4" w:space="0" w:color="auto"/>
            </w:tcBorders>
          </w:tcPr>
          <w:p w:rsidR="00067457" w:rsidRDefault="00067457" w:rsidP="00AA045B">
            <w:pPr>
              <w:pStyle w:val="Tabletext"/>
            </w:pPr>
          </w:p>
        </w:tc>
        <w:tc>
          <w:tcPr>
            <w:tcW w:w="1508" w:type="dxa"/>
            <w:tcBorders>
              <w:top w:val="single" w:sz="4" w:space="0" w:color="auto"/>
              <w:bottom w:val="single" w:sz="4" w:space="0" w:color="auto"/>
            </w:tcBorders>
          </w:tcPr>
          <w:p w:rsidR="00067457" w:rsidRPr="00542F08" w:rsidRDefault="00067457" w:rsidP="00AA045B">
            <w:pPr>
              <w:pStyle w:val="Tabletext"/>
            </w:pPr>
          </w:p>
        </w:tc>
        <w:tc>
          <w:tcPr>
            <w:tcW w:w="1508" w:type="dxa"/>
            <w:tcBorders>
              <w:top w:val="single" w:sz="4" w:space="0" w:color="auto"/>
              <w:bottom w:val="single" w:sz="4" w:space="0" w:color="auto"/>
            </w:tcBorders>
          </w:tcPr>
          <w:p w:rsidR="00067457" w:rsidRDefault="00067457" w:rsidP="00AA045B">
            <w:pPr>
              <w:pStyle w:val="Tabletext"/>
            </w:pPr>
          </w:p>
        </w:tc>
        <w:tc>
          <w:tcPr>
            <w:tcW w:w="1508" w:type="dxa"/>
            <w:tcBorders>
              <w:top w:val="single" w:sz="4" w:space="0" w:color="auto"/>
              <w:bottom w:val="single" w:sz="4" w:space="0" w:color="auto"/>
            </w:tcBorders>
          </w:tcPr>
          <w:p w:rsidR="00067457" w:rsidRDefault="00067457" w:rsidP="00AA045B">
            <w:pPr>
              <w:pStyle w:val="Tabletext"/>
            </w:pPr>
          </w:p>
        </w:tc>
      </w:tr>
    </w:tbl>
    <w:p w:rsidR="00067457" w:rsidRDefault="00067457" w:rsidP="00067457">
      <w:pPr>
        <w:tabs>
          <w:tab w:val="clear" w:pos="284"/>
        </w:tabs>
        <w:spacing w:line="240" w:lineRule="auto"/>
      </w:pPr>
    </w:p>
    <w:p w:rsidR="00067457" w:rsidRDefault="00067457" w:rsidP="00067457">
      <w:pPr>
        <w:tabs>
          <w:tab w:val="clear" w:pos="284"/>
        </w:tabs>
        <w:spacing w:line="240" w:lineRule="auto"/>
      </w:pPr>
    </w:p>
    <w:p w:rsidR="00067457" w:rsidRDefault="00067457" w:rsidP="00067457">
      <w:pPr>
        <w:tabs>
          <w:tab w:val="clear" w:pos="284"/>
        </w:tabs>
        <w:spacing w:line="240" w:lineRule="auto"/>
      </w:pPr>
    </w:p>
    <w:p w:rsidR="00067457" w:rsidRDefault="00067457">
      <w:pPr>
        <w:tabs>
          <w:tab w:val="clear" w:pos="284"/>
        </w:tabs>
        <w:spacing w:line="240" w:lineRule="auto"/>
      </w:pPr>
      <w:r>
        <w:br w:type="page"/>
      </w:r>
    </w:p>
    <w:p w:rsidR="00067457" w:rsidRDefault="00067457" w:rsidP="00067457">
      <w:pPr>
        <w:pStyle w:val="BodyText"/>
      </w:pPr>
    </w:p>
    <w:p w:rsidR="00831688" w:rsidRPr="008952D6" w:rsidRDefault="005A1F44" w:rsidP="00542F08">
      <w:pPr>
        <w:pStyle w:val="Heading"/>
      </w:pPr>
      <w:bookmarkStart w:id="27" w:name="Text_PreparedFor"/>
      <w:r>
        <w:t>Prepared for</w:t>
      </w:r>
      <w:bookmarkEnd w:id="27"/>
      <w:r w:rsidR="00831688" w:rsidRPr="008952D6">
        <w:t>:</w:t>
      </w:r>
    </w:p>
    <w:p w:rsidR="002F3B02" w:rsidRPr="0080040C" w:rsidRDefault="00E80CC8" w:rsidP="0081688E">
      <w:r>
        <w:fldChar w:fldCharType="begin"/>
      </w:r>
      <w:r>
        <w:instrText xml:space="preserve"> DOCPROPERTY  ClientName \* MERGEFORMAT </w:instrText>
      </w:r>
      <w:r>
        <w:fldChar w:fldCharType="end"/>
      </w:r>
      <w:bookmarkStart w:id="28" w:name="FooterClientAddress"/>
      <w:bookmarkEnd w:id="28"/>
      <w:r w:rsidR="00AB7A47">
        <w:t>West Wittering</w:t>
      </w:r>
      <w:r w:rsidR="008A0558">
        <w:t xml:space="preserve"> </w:t>
      </w:r>
      <w:r w:rsidR="005F5CF8">
        <w:t>Parish</w:t>
      </w:r>
      <w:r w:rsidR="008A0558">
        <w:t xml:space="preserve"> Council</w:t>
      </w:r>
    </w:p>
    <w:p w:rsidR="00831688" w:rsidRDefault="00831688" w:rsidP="0080040C">
      <w:pPr>
        <w:pStyle w:val="BodyText"/>
      </w:pPr>
    </w:p>
    <w:p w:rsidR="005A1F44" w:rsidRDefault="005A1F44" w:rsidP="006F461B">
      <w:pPr>
        <w:pStyle w:val="Heading"/>
      </w:pPr>
      <w:bookmarkStart w:id="29" w:name="Text_PreparedBy_1"/>
      <w:r>
        <w:t>Prepared by</w:t>
      </w:r>
      <w:bookmarkEnd w:id="29"/>
      <w:r w:rsidR="000F22FF">
        <w:t>:</w:t>
      </w:r>
      <w:bookmarkStart w:id="30" w:name="Contact1"/>
    </w:p>
    <w:p w:rsidR="005A1F44" w:rsidRDefault="005A1F44" w:rsidP="0081688E"/>
    <w:bookmarkEnd w:id="30"/>
    <w:p w:rsidR="005A1F44" w:rsidRDefault="007D60D8" w:rsidP="0081688E">
      <w:r>
        <w:t>‌</w:t>
      </w:r>
      <w:bookmarkStart w:id="31" w:name="OfficeAddress1"/>
      <w:r w:rsidR="00DC7A83">
        <w:t>AECOM</w:t>
      </w:r>
    </w:p>
    <w:p w:rsidR="005A1F44" w:rsidRDefault="005A1F44" w:rsidP="0081688E">
      <w:r>
        <w:t>Aldgate Tower</w:t>
      </w:r>
    </w:p>
    <w:p w:rsidR="005A1F44" w:rsidRDefault="005A1F44" w:rsidP="0081688E">
      <w:r>
        <w:t>2 Leman Street</w:t>
      </w:r>
    </w:p>
    <w:p w:rsidR="005A1F44" w:rsidRDefault="005A1F44" w:rsidP="0081688E">
      <w:r>
        <w:t>London</w:t>
      </w:r>
    </w:p>
    <w:p w:rsidR="005A1F44" w:rsidRDefault="005A1F44" w:rsidP="0081688E">
      <w:r>
        <w:t>E1 8FA</w:t>
      </w:r>
    </w:p>
    <w:p w:rsidR="000F22FF" w:rsidRDefault="005A1F44" w:rsidP="0081688E">
      <w:r>
        <w:t>aecom.com</w:t>
      </w:r>
      <w:bookmarkEnd w:id="31"/>
    </w:p>
    <w:p w:rsidR="00A609EC" w:rsidRDefault="00A609EC" w:rsidP="0080040C">
      <w:pPr>
        <w:pStyle w:val="BodyText"/>
      </w:pPr>
    </w:p>
    <w:p w:rsidR="00A609EC" w:rsidRPr="0080040C" w:rsidRDefault="006F5B88" w:rsidP="0080040C">
      <w:pPr>
        <w:pStyle w:val="Heading"/>
      </w:pPr>
      <w:fldSimple w:instr=" DOCPROPERTY  InAssociationWith \* MERGEFORMAT ">
        <w:r w:rsidR="00E80CC8">
          <w:t xml:space="preserve"> </w:t>
        </w:r>
      </w:fldSimple>
    </w:p>
    <w:p w:rsidR="00A609EC" w:rsidRPr="0080040C" w:rsidRDefault="00E80CC8" w:rsidP="0081688E">
      <w:r>
        <w:fldChar w:fldCharType="begin"/>
      </w:r>
      <w:r>
        <w:instrText xml:space="preserve"> DOCPROPERTY  AdditionalCompanyName \* MERGEFORMAT </w:instrText>
      </w:r>
      <w:r>
        <w:fldChar w:fldCharType="end"/>
      </w:r>
    </w:p>
    <w:p w:rsidR="00A609EC" w:rsidRDefault="00A609EC" w:rsidP="0080040C">
      <w:pPr>
        <w:pStyle w:val="BodyText"/>
      </w:pPr>
    </w:p>
    <w:p w:rsidR="0080040C" w:rsidRPr="0080040C" w:rsidRDefault="00E80CC8" w:rsidP="0080040C">
      <w:pPr>
        <w:pStyle w:val="BodyText"/>
      </w:pPr>
      <w:r>
        <w:fldChar w:fldCharType="begin"/>
      </w:r>
      <w:r>
        <w:instrText xml:space="preserve"> DOCPROPERTY "AccreditationText" </w:instrText>
      </w:r>
      <w:r>
        <w:fldChar w:fldCharType="end"/>
      </w:r>
    </w:p>
    <w:p w:rsidR="0080040C" w:rsidRDefault="00E80CC8" w:rsidP="0080040C">
      <w:pPr>
        <w:pStyle w:val="BodyText"/>
      </w:pPr>
      <w:r>
        <w:fldChar w:fldCharType="begin"/>
      </w:r>
      <w:r>
        <w:instrText xml:space="preserve"> DOCPROPERTY "GreenInitiative" </w:instrText>
      </w:r>
      <w:r>
        <w:fldChar w:fldCharType="end"/>
      </w:r>
    </w:p>
    <w:p w:rsidR="00CD1EA1" w:rsidRDefault="00CD1EA1" w:rsidP="00CD1EA1">
      <w:pPr>
        <w:tabs>
          <w:tab w:val="clear" w:pos="284"/>
        </w:tabs>
        <w:spacing w:line="240" w:lineRule="auto"/>
      </w:pPr>
    </w:p>
    <w:p w:rsidR="00CD1EA1" w:rsidRPr="00542F08" w:rsidRDefault="005A1F44" w:rsidP="00CD1EA1">
      <w:pPr>
        <w:pStyle w:val="BodyText"/>
      </w:pPr>
      <w:bookmarkStart w:id="32" w:name="Copyright"/>
      <w:r>
        <w:t xml:space="preserve">© 2017 </w:t>
      </w:r>
      <w:proofErr w:type="gramStart"/>
      <w:r>
        <w:t>AECOM .</w:t>
      </w:r>
      <w:proofErr w:type="gramEnd"/>
      <w:r>
        <w:t xml:space="preserve"> All Rights Reserved.  </w:t>
      </w:r>
      <w:bookmarkEnd w:id="32"/>
    </w:p>
    <w:p w:rsidR="00CD1EA1" w:rsidRDefault="005A1F44" w:rsidP="00CD1EA1">
      <w:pPr>
        <w:pStyle w:val="BodyText"/>
      </w:pPr>
      <w:bookmarkStart w:id="33" w:name="Disclaimer"/>
      <w:r>
        <w:t>This docu</w:t>
      </w:r>
      <w:r w:rsidR="00DC7A83">
        <w:t>ment has been prepared by AECOM</w:t>
      </w:r>
      <w:r>
        <w:t xml:space="preserve"> (“AE</w:t>
      </w:r>
      <w:r w:rsidR="008A0558">
        <w:t xml:space="preserve">COM”) for sole use of </w:t>
      </w:r>
      <w:r w:rsidR="00AB7A47">
        <w:t>our client</w:t>
      </w:r>
      <w:r>
        <w:t xml:space="preserve"> (the “Client”) in accordance with generally accepted consultancy principles, the budget for fees and the terms of reference agreed between AECOM and the Client. Any information provided by third parties and referred to herein has not been checked or verified by AECOM, unless otherwise expressly stated in the document. No third party may rely upon this document without the prior and express written agreement of AECOM.</w:t>
      </w:r>
      <w:bookmarkEnd w:id="33"/>
    </w:p>
    <w:p w:rsidR="000D13AF" w:rsidRDefault="000D13AF">
      <w:pPr>
        <w:tabs>
          <w:tab w:val="clear" w:pos="284"/>
        </w:tabs>
        <w:spacing w:line="240" w:lineRule="auto"/>
      </w:pPr>
      <w:r>
        <w:br w:type="page"/>
      </w:r>
    </w:p>
    <w:p w:rsidR="003964F2" w:rsidRDefault="003964F2" w:rsidP="003964F2">
      <w:pPr>
        <w:pStyle w:val="TOCHeading"/>
        <w:rPr>
          <w:noProof/>
        </w:rPr>
      </w:pPr>
      <w:bookmarkStart w:id="34" w:name="Text_Contents"/>
      <w:bookmarkStart w:id="35" w:name="TOC"/>
      <w:r>
        <w:rPr>
          <w:noProof/>
        </w:rPr>
        <w:lastRenderedPageBreak/>
        <w:t>Table of Contents</w:t>
      </w:r>
      <w:bookmarkEnd w:id="34"/>
    </w:p>
    <w:p w:rsidR="00B25544" w:rsidRDefault="00B25544">
      <w:pPr>
        <w:pStyle w:val="TOC1"/>
        <w:rPr>
          <w:rFonts w:asciiTheme="minorHAnsi" w:eastAsiaTheme="minorEastAsia" w:hAnsiTheme="minorHAnsi"/>
          <w:noProof/>
          <w:kern w:val="0"/>
          <w:sz w:val="22"/>
          <w:szCs w:val="22"/>
          <w:lang w:eastAsia="en-GB"/>
        </w:rPr>
      </w:pPr>
      <w:r>
        <w:rPr>
          <w:noProof/>
        </w:rPr>
        <w:fldChar w:fldCharType="begin"/>
      </w:r>
      <w:r>
        <w:rPr>
          <w:noProof/>
        </w:rPr>
        <w:instrText xml:space="preserve"> TOC \o "1-2" \u </w:instrText>
      </w:r>
      <w:r>
        <w:rPr>
          <w:noProof/>
        </w:rPr>
        <w:fldChar w:fldCharType="separate"/>
      </w:r>
      <w:r w:rsidRPr="00670E77">
        <w:rPr>
          <w:noProof/>
          <w:lang w:val="en-US"/>
        </w:rPr>
        <w:t>1.</w:t>
      </w:r>
      <w:r>
        <w:rPr>
          <w:rFonts w:asciiTheme="minorHAnsi" w:eastAsiaTheme="minorEastAsia" w:hAnsiTheme="minorHAnsi"/>
          <w:noProof/>
          <w:kern w:val="0"/>
          <w:sz w:val="22"/>
          <w:szCs w:val="22"/>
          <w:lang w:eastAsia="en-GB"/>
        </w:rPr>
        <w:tab/>
      </w:r>
      <w:r w:rsidRPr="00670E77">
        <w:rPr>
          <w:noProof/>
          <w:lang w:val="en-US"/>
        </w:rPr>
        <w:t>Executive Summary</w:t>
      </w:r>
      <w:r>
        <w:rPr>
          <w:noProof/>
        </w:rPr>
        <w:tab/>
      </w:r>
      <w:r>
        <w:rPr>
          <w:noProof/>
        </w:rPr>
        <w:fldChar w:fldCharType="begin"/>
      </w:r>
      <w:r>
        <w:rPr>
          <w:noProof/>
        </w:rPr>
        <w:instrText xml:space="preserve"> PAGEREF _Toc504464717 \h </w:instrText>
      </w:r>
      <w:r>
        <w:rPr>
          <w:noProof/>
        </w:rPr>
      </w:r>
      <w:r>
        <w:rPr>
          <w:noProof/>
        </w:rPr>
        <w:fldChar w:fldCharType="separate"/>
      </w:r>
      <w:r>
        <w:rPr>
          <w:noProof/>
        </w:rPr>
        <w:t>1-6</w:t>
      </w:r>
      <w:r>
        <w:rPr>
          <w:noProof/>
        </w:rPr>
        <w:fldChar w:fldCharType="end"/>
      </w:r>
    </w:p>
    <w:p w:rsidR="00B25544" w:rsidRDefault="00B25544">
      <w:pPr>
        <w:pStyle w:val="TOC1"/>
        <w:rPr>
          <w:rFonts w:asciiTheme="minorHAnsi" w:eastAsiaTheme="minorEastAsia" w:hAnsiTheme="minorHAnsi"/>
          <w:noProof/>
          <w:kern w:val="0"/>
          <w:sz w:val="22"/>
          <w:szCs w:val="22"/>
          <w:lang w:eastAsia="en-GB"/>
        </w:rPr>
      </w:pPr>
      <w:r w:rsidRPr="00670E77">
        <w:rPr>
          <w:noProof/>
          <w:lang w:val="en-US"/>
        </w:rPr>
        <w:t>2.</w:t>
      </w:r>
      <w:r>
        <w:rPr>
          <w:rFonts w:asciiTheme="minorHAnsi" w:eastAsiaTheme="minorEastAsia" w:hAnsiTheme="minorHAnsi"/>
          <w:noProof/>
          <w:kern w:val="0"/>
          <w:sz w:val="22"/>
          <w:szCs w:val="22"/>
          <w:lang w:eastAsia="en-GB"/>
        </w:rPr>
        <w:tab/>
      </w:r>
      <w:r w:rsidRPr="00670E77">
        <w:rPr>
          <w:noProof/>
          <w:lang w:val="en-US"/>
        </w:rPr>
        <w:t>Context</w:t>
      </w:r>
      <w:r>
        <w:rPr>
          <w:noProof/>
        </w:rPr>
        <w:tab/>
      </w:r>
      <w:r>
        <w:rPr>
          <w:noProof/>
        </w:rPr>
        <w:fldChar w:fldCharType="begin"/>
      </w:r>
      <w:r>
        <w:rPr>
          <w:noProof/>
        </w:rPr>
        <w:instrText xml:space="preserve"> PAGEREF _Toc504464718 \h </w:instrText>
      </w:r>
      <w:r>
        <w:rPr>
          <w:noProof/>
        </w:rPr>
      </w:r>
      <w:r>
        <w:rPr>
          <w:noProof/>
        </w:rPr>
        <w:fldChar w:fldCharType="separate"/>
      </w:r>
      <w:r>
        <w:rPr>
          <w:noProof/>
        </w:rPr>
        <w:t>2-15</w:t>
      </w:r>
      <w:r>
        <w:rPr>
          <w:noProof/>
        </w:rPr>
        <w:fldChar w:fldCharType="end"/>
      </w:r>
    </w:p>
    <w:p w:rsidR="00B25544" w:rsidRDefault="00B25544">
      <w:pPr>
        <w:pStyle w:val="TOC2"/>
        <w:tabs>
          <w:tab w:val="left" w:pos="1134"/>
        </w:tabs>
        <w:rPr>
          <w:rFonts w:eastAsiaTheme="minorEastAsia"/>
          <w:noProof/>
          <w:kern w:val="0"/>
          <w:sz w:val="22"/>
          <w:szCs w:val="22"/>
          <w:lang w:eastAsia="en-GB"/>
        </w:rPr>
      </w:pPr>
      <w:r w:rsidRPr="00670E77">
        <w:rPr>
          <w:noProof/>
          <w:lang w:val="en-US"/>
        </w:rPr>
        <w:t>2.1</w:t>
      </w:r>
      <w:r>
        <w:rPr>
          <w:rFonts w:eastAsiaTheme="minorEastAsia"/>
          <w:noProof/>
          <w:kern w:val="0"/>
          <w:sz w:val="22"/>
          <w:szCs w:val="22"/>
          <w:lang w:eastAsia="en-GB"/>
        </w:rPr>
        <w:tab/>
      </w:r>
      <w:r w:rsidRPr="00670E77">
        <w:rPr>
          <w:noProof/>
          <w:lang w:val="en-US"/>
        </w:rPr>
        <w:t>Local planning context</w:t>
      </w:r>
      <w:r>
        <w:rPr>
          <w:noProof/>
        </w:rPr>
        <w:tab/>
      </w:r>
      <w:r>
        <w:rPr>
          <w:noProof/>
        </w:rPr>
        <w:fldChar w:fldCharType="begin"/>
      </w:r>
      <w:r>
        <w:rPr>
          <w:noProof/>
        </w:rPr>
        <w:instrText xml:space="preserve"> PAGEREF _Toc504464719 \h </w:instrText>
      </w:r>
      <w:r>
        <w:rPr>
          <w:noProof/>
        </w:rPr>
      </w:r>
      <w:r>
        <w:rPr>
          <w:noProof/>
        </w:rPr>
        <w:fldChar w:fldCharType="separate"/>
      </w:r>
      <w:r>
        <w:rPr>
          <w:noProof/>
        </w:rPr>
        <w:t>2-15</w:t>
      </w:r>
      <w:r>
        <w:rPr>
          <w:noProof/>
        </w:rPr>
        <w:fldChar w:fldCharType="end"/>
      </w:r>
    </w:p>
    <w:p w:rsidR="00B25544" w:rsidRDefault="00B25544">
      <w:pPr>
        <w:pStyle w:val="TOC1"/>
        <w:rPr>
          <w:rFonts w:asciiTheme="minorHAnsi" w:eastAsiaTheme="minorEastAsia" w:hAnsiTheme="minorHAnsi"/>
          <w:noProof/>
          <w:kern w:val="0"/>
          <w:sz w:val="22"/>
          <w:szCs w:val="22"/>
          <w:lang w:eastAsia="en-GB"/>
        </w:rPr>
      </w:pPr>
      <w:r w:rsidRPr="00670E77">
        <w:rPr>
          <w:noProof/>
          <w:lang w:val="en-US"/>
        </w:rPr>
        <w:t>3.</w:t>
      </w:r>
      <w:r>
        <w:rPr>
          <w:rFonts w:asciiTheme="minorHAnsi" w:eastAsiaTheme="minorEastAsia" w:hAnsiTheme="minorHAnsi"/>
          <w:noProof/>
          <w:kern w:val="0"/>
          <w:sz w:val="22"/>
          <w:szCs w:val="22"/>
          <w:lang w:eastAsia="en-GB"/>
        </w:rPr>
        <w:tab/>
      </w:r>
      <w:r w:rsidRPr="00670E77">
        <w:rPr>
          <w:noProof/>
          <w:lang w:val="en-US"/>
        </w:rPr>
        <w:t>Approach</w:t>
      </w:r>
      <w:r>
        <w:rPr>
          <w:noProof/>
        </w:rPr>
        <w:tab/>
      </w:r>
      <w:r>
        <w:rPr>
          <w:noProof/>
        </w:rPr>
        <w:fldChar w:fldCharType="begin"/>
      </w:r>
      <w:r>
        <w:rPr>
          <w:noProof/>
        </w:rPr>
        <w:instrText xml:space="preserve"> PAGEREF _Toc504464720 \h </w:instrText>
      </w:r>
      <w:r>
        <w:rPr>
          <w:noProof/>
        </w:rPr>
      </w:r>
      <w:r>
        <w:rPr>
          <w:noProof/>
        </w:rPr>
        <w:fldChar w:fldCharType="separate"/>
      </w:r>
      <w:r>
        <w:rPr>
          <w:noProof/>
        </w:rPr>
        <w:t>3-16</w:t>
      </w:r>
      <w:r>
        <w:rPr>
          <w:noProof/>
        </w:rPr>
        <w:fldChar w:fldCharType="end"/>
      </w:r>
    </w:p>
    <w:p w:rsidR="00B25544" w:rsidRDefault="00B25544">
      <w:pPr>
        <w:pStyle w:val="TOC2"/>
        <w:tabs>
          <w:tab w:val="left" w:pos="1134"/>
        </w:tabs>
        <w:rPr>
          <w:rFonts w:eastAsiaTheme="minorEastAsia"/>
          <w:noProof/>
          <w:kern w:val="0"/>
          <w:sz w:val="22"/>
          <w:szCs w:val="22"/>
          <w:lang w:eastAsia="en-GB"/>
        </w:rPr>
      </w:pPr>
      <w:r w:rsidRPr="00670E77">
        <w:rPr>
          <w:noProof/>
          <w:lang w:val="en-US"/>
        </w:rPr>
        <w:t>3.1</w:t>
      </w:r>
      <w:r>
        <w:rPr>
          <w:rFonts w:eastAsiaTheme="minorEastAsia"/>
          <w:noProof/>
          <w:kern w:val="0"/>
          <w:sz w:val="22"/>
          <w:szCs w:val="22"/>
          <w:lang w:eastAsia="en-GB"/>
        </w:rPr>
        <w:tab/>
      </w:r>
      <w:r w:rsidRPr="00670E77">
        <w:rPr>
          <w:noProof/>
          <w:lang w:val="en-US"/>
        </w:rPr>
        <w:t>Research questions</w:t>
      </w:r>
      <w:r>
        <w:rPr>
          <w:noProof/>
        </w:rPr>
        <w:tab/>
      </w:r>
      <w:r>
        <w:rPr>
          <w:noProof/>
        </w:rPr>
        <w:fldChar w:fldCharType="begin"/>
      </w:r>
      <w:r>
        <w:rPr>
          <w:noProof/>
        </w:rPr>
        <w:instrText xml:space="preserve"> PAGEREF _Toc504464721 \h </w:instrText>
      </w:r>
      <w:r>
        <w:rPr>
          <w:noProof/>
        </w:rPr>
      </w:r>
      <w:r>
        <w:rPr>
          <w:noProof/>
        </w:rPr>
        <w:fldChar w:fldCharType="separate"/>
      </w:r>
      <w:r>
        <w:rPr>
          <w:noProof/>
        </w:rPr>
        <w:t>3-16</w:t>
      </w:r>
      <w:r>
        <w:rPr>
          <w:noProof/>
        </w:rPr>
        <w:fldChar w:fldCharType="end"/>
      </w:r>
    </w:p>
    <w:p w:rsidR="00B25544" w:rsidRDefault="00B25544">
      <w:pPr>
        <w:pStyle w:val="TOC2"/>
        <w:tabs>
          <w:tab w:val="left" w:pos="1134"/>
        </w:tabs>
        <w:rPr>
          <w:rFonts w:eastAsiaTheme="minorEastAsia"/>
          <w:noProof/>
          <w:kern w:val="0"/>
          <w:sz w:val="22"/>
          <w:szCs w:val="22"/>
          <w:lang w:eastAsia="en-GB"/>
        </w:rPr>
      </w:pPr>
      <w:r w:rsidRPr="00670E77">
        <w:rPr>
          <w:rFonts w:eastAsia="Times New Roman" w:cs="Times New Roman"/>
          <w:noProof/>
        </w:rPr>
        <w:t>3.2</w:t>
      </w:r>
      <w:r>
        <w:rPr>
          <w:rFonts w:eastAsiaTheme="minorEastAsia"/>
          <w:noProof/>
          <w:kern w:val="0"/>
          <w:sz w:val="22"/>
          <w:szCs w:val="22"/>
          <w:lang w:eastAsia="en-GB"/>
        </w:rPr>
        <w:tab/>
      </w:r>
      <w:r w:rsidRPr="00670E77">
        <w:rPr>
          <w:rFonts w:eastAsia="Times New Roman"/>
          <w:noProof/>
        </w:rPr>
        <w:t>Tenure</w:t>
      </w:r>
      <w:r>
        <w:rPr>
          <w:noProof/>
        </w:rPr>
        <w:tab/>
      </w:r>
      <w:r>
        <w:rPr>
          <w:noProof/>
        </w:rPr>
        <w:fldChar w:fldCharType="begin"/>
      </w:r>
      <w:r>
        <w:rPr>
          <w:noProof/>
        </w:rPr>
        <w:instrText xml:space="preserve"> PAGEREF _Toc504464722 \h </w:instrText>
      </w:r>
      <w:r>
        <w:rPr>
          <w:noProof/>
        </w:rPr>
      </w:r>
      <w:r>
        <w:rPr>
          <w:noProof/>
        </w:rPr>
        <w:fldChar w:fldCharType="separate"/>
      </w:r>
      <w:r>
        <w:rPr>
          <w:noProof/>
        </w:rPr>
        <w:t>3-16</w:t>
      </w:r>
      <w:r>
        <w:rPr>
          <w:noProof/>
        </w:rPr>
        <w:fldChar w:fldCharType="end"/>
      </w:r>
    </w:p>
    <w:p w:rsidR="00B25544" w:rsidRDefault="00B25544">
      <w:pPr>
        <w:pStyle w:val="TOC2"/>
        <w:tabs>
          <w:tab w:val="left" w:pos="1134"/>
        </w:tabs>
        <w:rPr>
          <w:rFonts w:eastAsiaTheme="minorEastAsia"/>
          <w:noProof/>
          <w:kern w:val="0"/>
          <w:sz w:val="22"/>
          <w:szCs w:val="22"/>
          <w:lang w:eastAsia="en-GB"/>
        </w:rPr>
      </w:pPr>
      <w:r w:rsidRPr="00670E77">
        <w:rPr>
          <w:rFonts w:eastAsia="Times New Roman"/>
          <w:noProof/>
        </w:rPr>
        <w:t>3.3</w:t>
      </w:r>
      <w:r>
        <w:rPr>
          <w:rFonts w:eastAsiaTheme="minorEastAsia"/>
          <w:noProof/>
          <w:kern w:val="0"/>
          <w:sz w:val="22"/>
          <w:szCs w:val="22"/>
          <w:lang w:eastAsia="en-GB"/>
        </w:rPr>
        <w:tab/>
      </w:r>
      <w:r w:rsidRPr="00670E77">
        <w:rPr>
          <w:rFonts w:eastAsia="Times New Roman"/>
          <w:noProof/>
        </w:rPr>
        <w:t>Type and size</w:t>
      </w:r>
      <w:r>
        <w:rPr>
          <w:noProof/>
        </w:rPr>
        <w:tab/>
      </w:r>
      <w:r>
        <w:rPr>
          <w:noProof/>
        </w:rPr>
        <w:fldChar w:fldCharType="begin"/>
      </w:r>
      <w:r>
        <w:rPr>
          <w:noProof/>
        </w:rPr>
        <w:instrText xml:space="preserve"> PAGEREF _Toc504464723 \h </w:instrText>
      </w:r>
      <w:r>
        <w:rPr>
          <w:noProof/>
        </w:rPr>
      </w:r>
      <w:r>
        <w:rPr>
          <w:noProof/>
        </w:rPr>
        <w:fldChar w:fldCharType="separate"/>
      </w:r>
      <w:r>
        <w:rPr>
          <w:noProof/>
        </w:rPr>
        <w:t>3-17</w:t>
      </w:r>
      <w:r>
        <w:rPr>
          <w:noProof/>
        </w:rPr>
        <w:fldChar w:fldCharType="end"/>
      </w:r>
    </w:p>
    <w:p w:rsidR="00B25544" w:rsidRDefault="00B25544">
      <w:pPr>
        <w:pStyle w:val="TOC2"/>
        <w:tabs>
          <w:tab w:val="left" w:pos="1134"/>
        </w:tabs>
        <w:rPr>
          <w:rFonts w:eastAsiaTheme="minorEastAsia"/>
          <w:noProof/>
          <w:kern w:val="0"/>
          <w:sz w:val="22"/>
          <w:szCs w:val="22"/>
          <w:lang w:eastAsia="en-GB"/>
        </w:rPr>
      </w:pPr>
      <w:r w:rsidRPr="00670E77">
        <w:rPr>
          <w:rFonts w:eastAsia="Times New Roman" w:cs="Times New Roman"/>
          <w:noProof/>
        </w:rPr>
        <w:t>3.4</w:t>
      </w:r>
      <w:r>
        <w:rPr>
          <w:rFonts w:eastAsiaTheme="minorEastAsia"/>
          <w:noProof/>
          <w:kern w:val="0"/>
          <w:sz w:val="22"/>
          <w:szCs w:val="22"/>
          <w:lang w:eastAsia="en-GB"/>
        </w:rPr>
        <w:tab/>
      </w:r>
      <w:r w:rsidRPr="00670E77">
        <w:rPr>
          <w:rFonts w:eastAsia="Times New Roman"/>
          <w:noProof/>
        </w:rPr>
        <w:t>Housing for specialist groups</w:t>
      </w:r>
      <w:r>
        <w:rPr>
          <w:noProof/>
        </w:rPr>
        <w:tab/>
      </w:r>
      <w:r>
        <w:rPr>
          <w:noProof/>
        </w:rPr>
        <w:fldChar w:fldCharType="begin"/>
      </w:r>
      <w:r>
        <w:rPr>
          <w:noProof/>
        </w:rPr>
        <w:instrText xml:space="preserve"> PAGEREF _Toc504464724 \h </w:instrText>
      </w:r>
      <w:r>
        <w:rPr>
          <w:noProof/>
        </w:rPr>
      </w:r>
      <w:r>
        <w:rPr>
          <w:noProof/>
        </w:rPr>
        <w:fldChar w:fldCharType="separate"/>
      </w:r>
      <w:r>
        <w:rPr>
          <w:noProof/>
        </w:rPr>
        <w:t>3-17</w:t>
      </w:r>
      <w:r>
        <w:rPr>
          <w:noProof/>
        </w:rPr>
        <w:fldChar w:fldCharType="end"/>
      </w:r>
    </w:p>
    <w:p w:rsidR="00B25544" w:rsidRDefault="00B25544">
      <w:pPr>
        <w:pStyle w:val="TOC2"/>
        <w:tabs>
          <w:tab w:val="left" w:pos="1134"/>
        </w:tabs>
        <w:rPr>
          <w:rFonts w:eastAsiaTheme="minorEastAsia"/>
          <w:noProof/>
          <w:kern w:val="0"/>
          <w:sz w:val="22"/>
          <w:szCs w:val="22"/>
          <w:lang w:eastAsia="en-GB"/>
        </w:rPr>
      </w:pPr>
      <w:r w:rsidRPr="00670E77">
        <w:rPr>
          <w:noProof/>
          <w:lang w:val="en-US"/>
        </w:rPr>
        <w:t>3.5</w:t>
      </w:r>
      <w:r>
        <w:rPr>
          <w:rFonts w:eastAsiaTheme="minorEastAsia"/>
          <w:noProof/>
          <w:kern w:val="0"/>
          <w:sz w:val="22"/>
          <w:szCs w:val="22"/>
          <w:lang w:eastAsia="en-GB"/>
        </w:rPr>
        <w:tab/>
      </w:r>
      <w:r w:rsidRPr="00670E77">
        <w:rPr>
          <w:noProof/>
          <w:lang w:val="en-US"/>
        </w:rPr>
        <w:t>Study objectives</w:t>
      </w:r>
      <w:r>
        <w:rPr>
          <w:noProof/>
        </w:rPr>
        <w:tab/>
      </w:r>
      <w:r>
        <w:rPr>
          <w:noProof/>
        </w:rPr>
        <w:fldChar w:fldCharType="begin"/>
      </w:r>
      <w:r>
        <w:rPr>
          <w:noProof/>
        </w:rPr>
        <w:instrText xml:space="preserve"> PAGEREF _Toc504464725 \h </w:instrText>
      </w:r>
      <w:r>
        <w:rPr>
          <w:noProof/>
        </w:rPr>
      </w:r>
      <w:r>
        <w:rPr>
          <w:noProof/>
        </w:rPr>
        <w:fldChar w:fldCharType="separate"/>
      </w:r>
      <w:r>
        <w:rPr>
          <w:noProof/>
        </w:rPr>
        <w:t>3-17</w:t>
      </w:r>
      <w:r>
        <w:rPr>
          <w:noProof/>
        </w:rPr>
        <w:fldChar w:fldCharType="end"/>
      </w:r>
    </w:p>
    <w:p w:rsidR="00B25544" w:rsidRDefault="00B25544">
      <w:pPr>
        <w:pStyle w:val="TOC1"/>
        <w:rPr>
          <w:rFonts w:asciiTheme="minorHAnsi" w:eastAsiaTheme="minorEastAsia" w:hAnsiTheme="minorHAnsi"/>
          <w:noProof/>
          <w:kern w:val="0"/>
          <w:sz w:val="22"/>
          <w:szCs w:val="22"/>
          <w:lang w:eastAsia="en-GB"/>
        </w:rPr>
      </w:pPr>
      <w:r w:rsidRPr="00670E77">
        <w:rPr>
          <w:noProof/>
          <w:lang w:val="en-US"/>
        </w:rPr>
        <w:t>4.</w:t>
      </w:r>
      <w:r>
        <w:rPr>
          <w:rFonts w:asciiTheme="minorHAnsi" w:eastAsiaTheme="minorEastAsia" w:hAnsiTheme="minorHAnsi"/>
          <w:noProof/>
          <w:kern w:val="0"/>
          <w:sz w:val="22"/>
          <w:szCs w:val="22"/>
          <w:lang w:eastAsia="en-GB"/>
        </w:rPr>
        <w:tab/>
      </w:r>
      <w:r w:rsidRPr="00670E77">
        <w:rPr>
          <w:noProof/>
          <w:lang w:val="en-US"/>
        </w:rPr>
        <w:t>1. Relevant Data</w:t>
      </w:r>
      <w:r>
        <w:rPr>
          <w:noProof/>
        </w:rPr>
        <w:tab/>
      </w:r>
      <w:r>
        <w:rPr>
          <w:noProof/>
        </w:rPr>
        <w:fldChar w:fldCharType="begin"/>
      </w:r>
      <w:r>
        <w:rPr>
          <w:noProof/>
        </w:rPr>
        <w:instrText xml:space="preserve"> PAGEREF _Toc504464726 \h </w:instrText>
      </w:r>
      <w:r>
        <w:rPr>
          <w:noProof/>
        </w:rPr>
      </w:r>
      <w:r>
        <w:rPr>
          <w:noProof/>
        </w:rPr>
        <w:fldChar w:fldCharType="separate"/>
      </w:r>
      <w:r>
        <w:rPr>
          <w:noProof/>
        </w:rPr>
        <w:t>4-17</w:t>
      </w:r>
      <w:r>
        <w:rPr>
          <w:noProof/>
        </w:rPr>
        <w:fldChar w:fldCharType="end"/>
      </w:r>
    </w:p>
    <w:p w:rsidR="00B25544" w:rsidRDefault="00B25544">
      <w:pPr>
        <w:pStyle w:val="TOC2"/>
        <w:tabs>
          <w:tab w:val="left" w:pos="1134"/>
        </w:tabs>
        <w:rPr>
          <w:rFonts w:eastAsiaTheme="minorEastAsia"/>
          <w:noProof/>
          <w:kern w:val="0"/>
          <w:sz w:val="22"/>
          <w:szCs w:val="22"/>
          <w:lang w:eastAsia="en-GB"/>
        </w:rPr>
      </w:pPr>
      <w:r w:rsidRPr="00670E77">
        <w:rPr>
          <w:noProof/>
          <w:lang w:val="en-US"/>
        </w:rPr>
        <w:t>4.1</w:t>
      </w:r>
      <w:r>
        <w:rPr>
          <w:rFonts w:eastAsiaTheme="minorEastAsia"/>
          <w:noProof/>
          <w:kern w:val="0"/>
          <w:sz w:val="22"/>
          <w:szCs w:val="22"/>
          <w:lang w:eastAsia="en-GB"/>
        </w:rPr>
        <w:tab/>
      </w:r>
      <w:r w:rsidRPr="00670E77">
        <w:rPr>
          <w:noProof/>
          <w:lang w:val="en-US"/>
        </w:rPr>
        <w:t>SHMA</w:t>
      </w:r>
      <w:r>
        <w:rPr>
          <w:noProof/>
        </w:rPr>
        <w:tab/>
      </w:r>
      <w:r>
        <w:rPr>
          <w:noProof/>
        </w:rPr>
        <w:fldChar w:fldCharType="begin"/>
      </w:r>
      <w:r>
        <w:rPr>
          <w:noProof/>
        </w:rPr>
        <w:instrText xml:space="preserve"> PAGEREF _Toc504464727 \h </w:instrText>
      </w:r>
      <w:r>
        <w:rPr>
          <w:noProof/>
        </w:rPr>
      </w:r>
      <w:r>
        <w:rPr>
          <w:noProof/>
        </w:rPr>
        <w:fldChar w:fldCharType="separate"/>
      </w:r>
      <w:r>
        <w:rPr>
          <w:noProof/>
        </w:rPr>
        <w:t>4-17</w:t>
      </w:r>
      <w:r>
        <w:rPr>
          <w:noProof/>
        </w:rPr>
        <w:fldChar w:fldCharType="end"/>
      </w:r>
    </w:p>
    <w:p w:rsidR="00B25544" w:rsidRDefault="00B25544">
      <w:pPr>
        <w:pStyle w:val="TOC1"/>
        <w:rPr>
          <w:rFonts w:asciiTheme="minorHAnsi" w:eastAsiaTheme="minorEastAsia" w:hAnsiTheme="minorHAnsi"/>
          <w:noProof/>
          <w:kern w:val="0"/>
          <w:sz w:val="22"/>
          <w:szCs w:val="22"/>
          <w:lang w:eastAsia="en-GB"/>
        </w:rPr>
      </w:pPr>
      <w:r>
        <w:rPr>
          <w:noProof/>
        </w:rPr>
        <w:t>5.</w:t>
      </w:r>
      <w:r>
        <w:rPr>
          <w:rFonts w:asciiTheme="minorHAnsi" w:eastAsiaTheme="minorEastAsia" w:hAnsiTheme="minorHAnsi"/>
          <w:noProof/>
          <w:kern w:val="0"/>
          <w:sz w:val="22"/>
          <w:szCs w:val="22"/>
          <w:lang w:eastAsia="en-GB"/>
        </w:rPr>
        <w:tab/>
      </w:r>
      <w:r>
        <w:rPr>
          <w:noProof/>
        </w:rPr>
        <w:t>RQ1. What quantity of housing is appropriate for the NPA?</w:t>
      </w:r>
      <w:r>
        <w:rPr>
          <w:noProof/>
        </w:rPr>
        <w:tab/>
      </w:r>
      <w:r>
        <w:rPr>
          <w:noProof/>
        </w:rPr>
        <w:fldChar w:fldCharType="begin"/>
      </w:r>
      <w:r>
        <w:rPr>
          <w:noProof/>
        </w:rPr>
        <w:instrText xml:space="preserve"> PAGEREF _Toc504464728 \h </w:instrText>
      </w:r>
      <w:r>
        <w:rPr>
          <w:noProof/>
        </w:rPr>
      </w:r>
      <w:r>
        <w:rPr>
          <w:noProof/>
        </w:rPr>
        <w:fldChar w:fldCharType="separate"/>
      </w:r>
      <w:r>
        <w:rPr>
          <w:noProof/>
        </w:rPr>
        <w:t>5-19</w:t>
      </w:r>
      <w:r>
        <w:rPr>
          <w:noProof/>
        </w:rPr>
        <w:fldChar w:fldCharType="end"/>
      </w:r>
    </w:p>
    <w:p w:rsidR="00B25544" w:rsidRDefault="00B25544">
      <w:pPr>
        <w:pStyle w:val="TOC2"/>
        <w:tabs>
          <w:tab w:val="left" w:pos="1134"/>
        </w:tabs>
        <w:rPr>
          <w:rFonts w:eastAsiaTheme="minorEastAsia"/>
          <w:noProof/>
          <w:kern w:val="0"/>
          <w:sz w:val="22"/>
          <w:szCs w:val="22"/>
          <w:lang w:eastAsia="en-GB"/>
        </w:rPr>
      </w:pPr>
      <w:r>
        <w:rPr>
          <w:noProof/>
        </w:rPr>
        <w:t>5.1</w:t>
      </w:r>
      <w:r>
        <w:rPr>
          <w:rFonts w:eastAsiaTheme="minorEastAsia"/>
          <w:noProof/>
          <w:kern w:val="0"/>
          <w:sz w:val="22"/>
          <w:szCs w:val="22"/>
          <w:lang w:eastAsia="en-GB"/>
        </w:rPr>
        <w:tab/>
      </w:r>
      <w:r>
        <w:rPr>
          <w:noProof/>
        </w:rPr>
        <w:t>Chichester Local Plan (2014-2023)</w:t>
      </w:r>
      <w:r>
        <w:rPr>
          <w:noProof/>
        </w:rPr>
        <w:tab/>
      </w:r>
      <w:r>
        <w:rPr>
          <w:noProof/>
        </w:rPr>
        <w:fldChar w:fldCharType="begin"/>
      </w:r>
      <w:r>
        <w:rPr>
          <w:noProof/>
        </w:rPr>
        <w:instrText xml:space="preserve"> PAGEREF _Toc504464729 \h </w:instrText>
      </w:r>
      <w:r>
        <w:rPr>
          <w:noProof/>
        </w:rPr>
      </w:r>
      <w:r>
        <w:rPr>
          <w:noProof/>
        </w:rPr>
        <w:fldChar w:fldCharType="separate"/>
      </w:r>
      <w:r>
        <w:rPr>
          <w:noProof/>
        </w:rPr>
        <w:t>5-19</w:t>
      </w:r>
      <w:r>
        <w:rPr>
          <w:noProof/>
        </w:rPr>
        <w:fldChar w:fldCharType="end"/>
      </w:r>
    </w:p>
    <w:p w:rsidR="00B25544" w:rsidRDefault="00B25544">
      <w:pPr>
        <w:pStyle w:val="TOC2"/>
        <w:tabs>
          <w:tab w:val="left" w:pos="1134"/>
        </w:tabs>
        <w:rPr>
          <w:rFonts w:eastAsiaTheme="minorEastAsia"/>
          <w:noProof/>
          <w:kern w:val="0"/>
          <w:sz w:val="22"/>
          <w:szCs w:val="22"/>
          <w:lang w:eastAsia="en-GB"/>
        </w:rPr>
      </w:pPr>
      <w:r>
        <w:rPr>
          <w:noProof/>
        </w:rPr>
        <w:t>5.2</w:t>
      </w:r>
      <w:r>
        <w:rPr>
          <w:rFonts w:eastAsiaTheme="minorEastAsia"/>
          <w:noProof/>
          <w:kern w:val="0"/>
          <w:sz w:val="22"/>
          <w:szCs w:val="22"/>
          <w:lang w:eastAsia="en-GB"/>
        </w:rPr>
        <w:tab/>
      </w:r>
      <w:r>
        <w:rPr>
          <w:noProof/>
        </w:rPr>
        <w:t>SHMA studies</w:t>
      </w:r>
      <w:r>
        <w:rPr>
          <w:noProof/>
        </w:rPr>
        <w:tab/>
      </w:r>
      <w:r>
        <w:rPr>
          <w:noProof/>
        </w:rPr>
        <w:fldChar w:fldCharType="begin"/>
      </w:r>
      <w:r>
        <w:rPr>
          <w:noProof/>
        </w:rPr>
        <w:instrText xml:space="preserve"> PAGEREF _Toc504464730 \h </w:instrText>
      </w:r>
      <w:r>
        <w:rPr>
          <w:noProof/>
        </w:rPr>
      </w:r>
      <w:r>
        <w:rPr>
          <w:noProof/>
        </w:rPr>
        <w:fldChar w:fldCharType="separate"/>
      </w:r>
      <w:r>
        <w:rPr>
          <w:noProof/>
        </w:rPr>
        <w:t>5-19</w:t>
      </w:r>
      <w:r>
        <w:rPr>
          <w:noProof/>
        </w:rPr>
        <w:fldChar w:fldCharType="end"/>
      </w:r>
    </w:p>
    <w:p w:rsidR="00B25544" w:rsidRDefault="00B25544">
      <w:pPr>
        <w:pStyle w:val="TOC2"/>
        <w:tabs>
          <w:tab w:val="left" w:pos="1134"/>
        </w:tabs>
        <w:rPr>
          <w:rFonts w:eastAsiaTheme="minorEastAsia"/>
          <w:noProof/>
          <w:kern w:val="0"/>
          <w:sz w:val="22"/>
          <w:szCs w:val="22"/>
          <w:lang w:eastAsia="en-GB"/>
        </w:rPr>
      </w:pPr>
      <w:r>
        <w:rPr>
          <w:noProof/>
        </w:rPr>
        <w:t>5.3</w:t>
      </w:r>
      <w:r>
        <w:rPr>
          <w:rFonts w:eastAsiaTheme="minorEastAsia"/>
          <w:noProof/>
          <w:kern w:val="0"/>
          <w:sz w:val="22"/>
          <w:szCs w:val="22"/>
          <w:lang w:eastAsia="en-GB"/>
        </w:rPr>
        <w:tab/>
      </w:r>
      <w:r>
        <w:rPr>
          <w:noProof/>
        </w:rPr>
        <w:t>MHCLG household projections</w:t>
      </w:r>
      <w:r>
        <w:rPr>
          <w:noProof/>
        </w:rPr>
        <w:tab/>
      </w:r>
      <w:r>
        <w:rPr>
          <w:noProof/>
        </w:rPr>
        <w:fldChar w:fldCharType="begin"/>
      </w:r>
      <w:r>
        <w:rPr>
          <w:noProof/>
        </w:rPr>
        <w:instrText xml:space="preserve"> PAGEREF _Toc504464731 \h </w:instrText>
      </w:r>
      <w:r>
        <w:rPr>
          <w:noProof/>
        </w:rPr>
      </w:r>
      <w:r>
        <w:rPr>
          <w:noProof/>
        </w:rPr>
        <w:fldChar w:fldCharType="separate"/>
      </w:r>
      <w:r>
        <w:rPr>
          <w:noProof/>
        </w:rPr>
        <w:t>5-20</w:t>
      </w:r>
      <w:r>
        <w:rPr>
          <w:noProof/>
        </w:rPr>
        <w:fldChar w:fldCharType="end"/>
      </w:r>
    </w:p>
    <w:p w:rsidR="00B25544" w:rsidRDefault="00B25544">
      <w:pPr>
        <w:pStyle w:val="TOC2"/>
        <w:tabs>
          <w:tab w:val="left" w:pos="1134"/>
        </w:tabs>
        <w:rPr>
          <w:rFonts w:eastAsiaTheme="minorEastAsia"/>
          <w:noProof/>
          <w:kern w:val="0"/>
          <w:sz w:val="22"/>
          <w:szCs w:val="22"/>
          <w:lang w:eastAsia="en-GB"/>
        </w:rPr>
      </w:pPr>
      <w:r>
        <w:rPr>
          <w:noProof/>
        </w:rPr>
        <w:t>5.4</w:t>
      </w:r>
      <w:r>
        <w:rPr>
          <w:rFonts w:eastAsiaTheme="minorEastAsia"/>
          <w:noProof/>
          <w:kern w:val="0"/>
          <w:sz w:val="22"/>
          <w:szCs w:val="22"/>
          <w:lang w:eastAsia="en-GB"/>
        </w:rPr>
        <w:tab/>
      </w:r>
      <w:r>
        <w:rPr>
          <w:noProof/>
        </w:rPr>
        <w:t>Dwelling growth 2001 – 2011</w:t>
      </w:r>
      <w:r>
        <w:rPr>
          <w:noProof/>
        </w:rPr>
        <w:tab/>
      </w:r>
      <w:r>
        <w:rPr>
          <w:noProof/>
        </w:rPr>
        <w:fldChar w:fldCharType="begin"/>
      </w:r>
      <w:r>
        <w:rPr>
          <w:noProof/>
        </w:rPr>
        <w:instrText xml:space="preserve"> PAGEREF _Toc504464732 \h </w:instrText>
      </w:r>
      <w:r>
        <w:rPr>
          <w:noProof/>
        </w:rPr>
      </w:r>
      <w:r>
        <w:rPr>
          <w:noProof/>
        </w:rPr>
        <w:fldChar w:fldCharType="separate"/>
      </w:r>
      <w:r>
        <w:rPr>
          <w:noProof/>
        </w:rPr>
        <w:t>5-21</w:t>
      </w:r>
      <w:r>
        <w:rPr>
          <w:noProof/>
        </w:rPr>
        <w:fldChar w:fldCharType="end"/>
      </w:r>
    </w:p>
    <w:p w:rsidR="00B25544" w:rsidRDefault="00B25544">
      <w:pPr>
        <w:pStyle w:val="TOC2"/>
        <w:tabs>
          <w:tab w:val="left" w:pos="1134"/>
        </w:tabs>
        <w:rPr>
          <w:rFonts w:eastAsiaTheme="minorEastAsia"/>
          <w:noProof/>
          <w:kern w:val="0"/>
          <w:sz w:val="22"/>
          <w:szCs w:val="22"/>
          <w:lang w:eastAsia="en-GB"/>
        </w:rPr>
      </w:pPr>
      <w:r>
        <w:rPr>
          <w:noProof/>
        </w:rPr>
        <w:t>5.5</w:t>
      </w:r>
      <w:r>
        <w:rPr>
          <w:rFonts w:eastAsiaTheme="minorEastAsia"/>
          <w:noProof/>
          <w:kern w:val="0"/>
          <w:sz w:val="22"/>
          <w:szCs w:val="22"/>
          <w:lang w:eastAsia="en-GB"/>
        </w:rPr>
        <w:tab/>
      </w:r>
      <w:r>
        <w:rPr>
          <w:noProof/>
        </w:rPr>
        <w:t>Dwelling growth since 2011</w:t>
      </w:r>
      <w:r>
        <w:rPr>
          <w:noProof/>
        </w:rPr>
        <w:tab/>
      </w:r>
      <w:r>
        <w:rPr>
          <w:noProof/>
        </w:rPr>
        <w:fldChar w:fldCharType="begin"/>
      </w:r>
      <w:r>
        <w:rPr>
          <w:noProof/>
        </w:rPr>
        <w:instrText xml:space="preserve"> PAGEREF _Toc504464733 \h </w:instrText>
      </w:r>
      <w:r>
        <w:rPr>
          <w:noProof/>
        </w:rPr>
      </w:r>
      <w:r>
        <w:rPr>
          <w:noProof/>
        </w:rPr>
        <w:fldChar w:fldCharType="separate"/>
      </w:r>
      <w:r>
        <w:rPr>
          <w:noProof/>
        </w:rPr>
        <w:t>5-21</w:t>
      </w:r>
      <w:r>
        <w:rPr>
          <w:noProof/>
        </w:rPr>
        <w:fldChar w:fldCharType="end"/>
      </w:r>
    </w:p>
    <w:p w:rsidR="00B25544" w:rsidRDefault="00B25544">
      <w:pPr>
        <w:pStyle w:val="TOC2"/>
        <w:tabs>
          <w:tab w:val="left" w:pos="1134"/>
        </w:tabs>
        <w:rPr>
          <w:rFonts w:eastAsiaTheme="minorEastAsia"/>
          <w:noProof/>
          <w:kern w:val="0"/>
          <w:sz w:val="22"/>
          <w:szCs w:val="22"/>
          <w:lang w:eastAsia="en-GB"/>
        </w:rPr>
      </w:pPr>
      <w:r w:rsidRPr="00670E77">
        <w:rPr>
          <w:rFonts w:eastAsia="Times New Roman"/>
          <w:noProof/>
          <w:lang w:val="en-US"/>
        </w:rPr>
        <w:t>5.6</w:t>
      </w:r>
      <w:r>
        <w:rPr>
          <w:rFonts w:eastAsiaTheme="minorEastAsia"/>
          <w:noProof/>
          <w:kern w:val="0"/>
          <w:sz w:val="22"/>
          <w:szCs w:val="22"/>
          <w:lang w:eastAsia="en-GB"/>
        </w:rPr>
        <w:tab/>
      </w:r>
      <w:r w:rsidRPr="00670E77">
        <w:rPr>
          <w:rFonts w:eastAsia="Times New Roman"/>
          <w:noProof/>
          <w:lang w:val="en-US"/>
        </w:rPr>
        <w:t>Dwelling growth 2001-2017</w:t>
      </w:r>
      <w:r>
        <w:rPr>
          <w:noProof/>
        </w:rPr>
        <w:tab/>
      </w:r>
      <w:r>
        <w:rPr>
          <w:noProof/>
        </w:rPr>
        <w:fldChar w:fldCharType="begin"/>
      </w:r>
      <w:r>
        <w:rPr>
          <w:noProof/>
        </w:rPr>
        <w:instrText xml:space="preserve"> PAGEREF _Toc504464734 \h </w:instrText>
      </w:r>
      <w:r>
        <w:rPr>
          <w:noProof/>
        </w:rPr>
      </w:r>
      <w:r>
        <w:rPr>
          <w:noProof/>
        </w:rPr>
        <w:fldChar w:fldCharType="separate"/>
      </w:r>
      <w:r>
        <w:rPr>
          <w:noProof/>
        </w:rPr>
        <w:t>5-21</w:t>
      </w:r>
      <w:r>
        <w:rPr>
          <w:noProof/>
        </w:rPr>
        <w:fldChar w:fldCharType="end"/>
      </w:r>
    </w:p>
    <w:p w:rsidR="00B25544" w:rsidRDefault="00B25544">
      <w:pPr>
        <w:pStyle w:val="TOC2"/>
        <w:tabs>
          <w:tab w:val="left" w:pos="1134"/>
        </w:tabs>
        <w:rPr>
          <w:rFonts w:eastAsiaTheme="minorEastAsia"/>
          <w:noProof/>
          <w:kern w:val="0"/>
          <w:sz w:val="22"/>
          <w:szCs w:val="22"/>
          <w:lang w:eastAsia="en-GB"/>
        </w:rPr>
      </w:pPr>
      <w:r>
        <w:rPr>
          <w:noProof/>
        </w:rPr>
        <w:t>5.7</w:t>
      </w:r>
      <w:r>
        <w:rPr>
          <w:rFonts w:eastAsiaTheme="minorEastAsia"/>
          <w:noProof/>
          <w:kern w:val="0"/>
          <w:sz w:val="22"/>
          <w:szCs w:val="22"/>
          <w:lang w:eastAsia="en-GB"/>
        </w:rPr>
        <w:tab/>
      </w:r>
      <w:r>
        <w:rPr>
          <w:noProof/>
        </w:rPr>
        <w:t>The standard methodology</w:t>
      </w:r>
      <w:r>
        <w:rPr>
          <w:noProof/>
        </w:rPr>
        <w:tab/>
      </w:r>
      <w:r>
        <w:rPr>
          <w:noProof/>
        </w:rPr>
        <w:fldChar w:fldCharType="begin"/>
      </w:r>
      <w:r>
        <w:rPr>
          <w:noProof/>
        </w:rPr>
        <w:instrText xml:space="preserve"> PAGEREF _Toc504464735 \h </w:instrText>
      </w:r>
      <w:r>
        <w:rPr>
          <w:noProof/>
        </w:rPr>
      </w:r>
      <w:r>
        <w:rPr>
          <w:noProof/>
        </w:rPr>
        <w:fldChar w:fldCharType="separate"/>
      </w:r>
      <w:r>
        <w:rPr>
          <w:noProof/>
        </w:rPr>
        <w:t>5-21</w:t>
      </w:r>
      <w:r>
        <w:rPr>
          <w:noProof/>
        </w:rPr>
        <w:fldChar w:fldCharType="end"/>
      </w:r>
    </w:p>
    <w:p w:rsidR="00B25544" w:rsidRDefault="00B25544">
      <w:pPr>
        <w:pStyle w:val="TOC1"/>
        <w:rPr>
          <w:rFonts w:asciiTheme="minorHAnsi" w:eastAsiaTheme="minorEastAsia" w:hAnsiTheme="minorHAnsi"/>
          <w:noProof/>
          <w:kern w:val="0"/>
          <w:sz w:val="22"/>
          <w:szCs w:val="22"/>
          <w:lang w:eastAsia="en-GB"/>
        </w:rPr>
      </w:pPr>
      <w:r>
        <w:rPr>
          <w:noProof/>
        </w:rPr>
        <w:t>6.</w:t>
      </w:r>
      <w:r>
        <w:rPr>
          <w:rFonts w:asciiTheme="minorHAnsi" w:eastAsiaTheme="minorEastAsia" w:hAnsiTheme="minorHAnsi"/>
          <w:noProof/>
          <w:kern w:val="0"/>
          <w:sz w:val="22"/>
          <w:szCs w:val="22"/>
          <w:lang w:eastAsia="en-GB"/>
        </w:rPr>
        <w:tab/>
      </w:r>
      <w:r>
        <w:rPr>
          <w:noProof/>
        </w:rPr>
        <w:t xml:space="preserve">RQ2. What </w:t>
      </w:r>
      <w:r w:rsidRPr="00670E77">
        <w:rPr>
          <w:noProof/>
          <w:u w:val="single"/>
        </w:rPr>
        <w:t xml:space="preserve">affordable housing </w:t>
      </w:r>
      <w:r>
        <w:rPr>
          <w:noProof/>
        </w:rPr>
        <w:t xml:space="preserve">(social housing, affordable rented, shared ownership, intermediate rented) and </w:t>
      </w:r>
      <w:r w:rsidRPr="00670E77">
        <w:rPr>
          <w:noProof/>
          <w:u w:val="single"/>
        </w:rPr>
        <w:t>market housing tenures</w:t>
      </w:r>
      <w:r>
        <w:rPr>
          <w:noProof/>
        </w:rPr>
        <w:t xml:space="preserve"> should be included in the housing mix?</w:t>
      </w:r>
      <w:r>
        <w:rPr>
          <w:noProof/>
        </w:rPr>
        <w:tab/>
      </w:r>
      <w:r>
        <w:rPr>
          <w:noProof/>
        </w:rPr>
        <w:fldChar w:fldCharType="begin"/>
      </w:r>
      <w:r>
        <w:rPr>
          <w:noProof/>
        </w:rPr>
        <w:instrText xml:space="preserve"> PAGEREF _Toc504464736 \h </w:instrText>
      </w:r>
      <w:r>
        <w:rPr>
          <w:noProof/>
        </w:rPr>
      </w:r>
      <w:r>
        <w:rPr>
          <w:noProof/>
        </w:rPr>
        <w:fldChar w:fldCharType="separate"/>
      </w:r>
      <w:r>
        <w:rPr>
          <w:noProof/>
        </w:rPr>
        <w:t>6-23</w:t>
      </w:r>
      <w:r>
        <w:rPr>
          <w:noProof/>
        </w:rPr>
        <w:fldChar w:fldCharType="end"/>
      </w:r>
    </w:p>
    <w:p w:rsidR="00B25544" w:rsidRDefault="00B25544">
      <w:pPr>
        <w:pStyle w:val="TOC2"/>
        <w:tabs>
          <w:tab w:val="left" w:pos="1134"/>
        </w:tabs>
        <w:rPr>
          <w:rFonts w:eastAsiaTheme="minorEastAsia"/>
          <w:noProof/>
          <w:kern w:val="0"/>
          <w:sz w:val="22"/>
          <w:szCs w:val="22"/>
          <w:lang w:eastAsia="en-GB"/>
        </w:rPr>
      </w:pPr>
      <w:r>
        <w:rPr>
          <w:noProof/>
        </w:rPr>
        <w:t>6.1</w:t>
      </w:r>
      <w:r>
        <w:rPr>
          <w:rFonts w:eastAsiaTheme="minorEastAsia"/>
          <w:noProof/>
          <w:kern w:val="0"/>
          <w:sz w:val="22"/>
          <w:szCs w:val="22"/>
          <w:lang w:eastAsia="en-GB"/>
        </w:rPr>
        <w:tab/>
      </w:r>
      <w:r>
        <w:rPr>
          <w:noProof/>
        </w:rPr>
        <w:t>Definitional issues</w:t>
      </w:r>
      <w:r>
        <w:rPr>
          <w:noProof/>
        </w:rPr>
        <w:tab/>
      </w:r>
      <w:r>
        <w:rPr>
          <w:noProof/>
        </w:rPr>
        <w:fldChar w:fldCharType="begin"/>
      </w:r>
      <w:r>
        <w:rPr>
          <w:noProof/>
        </w:rPr>
        <w:instrText xml:space="preserve"> PAGEREF _Toc504464737 \h </w:instrText>
      </w:r>
      <w:r>
        <w:rPr>
          <w:noProof/>
        </w:rPr>
      </w:r>
      <w:r>
        <w:rPr>
          <w:noProof/>
        </w:rPr>
        <w:fldChar w:fldCharType="separate"/>
      </w:r>
      <w:r>
        <w:rPr>
          <w:noProof/>
        </w:rPr>
        <w:t>6-23</w:t>
      </w:r>
      <w:r>
        <w:rPr>
          <w:noProof/>
        </w:rPr>
        <w:fldChar w:fldCharType="end"/>
      </w:r>
    </w:p>
    <w:p w:rsidR="00B25544" w:rsidRDefault="00B25544">
      <w:pPr>
        <w:pStyle w:val="TOC2"/>
        <w:tabs>
          <w:tab w:val="left" w:pos="1134"/>
        </w:tabs>
        <w:rPr>
          <w:rFonts w:eastAsiaTheme="minorEastAsia"/>
          <w:noProof/>
          <w:kern w:val="0"/>
          <w:sz w:val="22"/>
          <w:szCs w:val="22"/>
          <w:lang w:eastAsia="en-GB"/>
        </w:rPr>
      </w:pPr>
      <w:r>
        <w:rPr>
          <w:noProof/>
        </w:rPr>
        <w:t>6.2</w:t>
      </w:r>
      <w:r>
        <w:rPr>
          <w:rFonts w:eastAsiaTheme="minorEastAsia"/>
          <w:noProof/>
          <w:kern w:val="0"/>
          <w:sz w:val="22"/>
          <w:szCs w:val="22"/>
          <w:lang w:eastAsia="en-GB"/>
        </w:rPr>
        <w:tab/>
      </w:r>
      <w:r>
        <w:rPr>
          <w:noProof/>
        </w:rPr>
        <w:t>Current tenure profile</w:t>
      </w:r>
      <w:r>
        <w:rPr>
          <w:noProof/>
        </w:rPr>
        <w:tab/>
      </w:r>
      <w:r>
        <w:rPr>
          <w:noProof/>
        </w:rPr>
        <w:fldChar w:fldCharType="begin"/>
      </w:r>
      <w:r>
        <w:rPr>
          <w:noProof/>
        </w:rPr>
        <w:instrText xml:space="preserve"> PAGEREF _Toc504464738 \h </w:instrText>
      </w:r>
      <w:r>
        <w:rPr>
          <w:noProof/>
        </w:rPr>
      </w:r>
      <w:r>
        <w:rPr>
          <w:noProof/>
        </w:rPr>
        <w:fldChar w:fldCharType="separate"/>
      </w:r>
      <w:r>
        <w:rPr>
          <w:noProof/>
        </w:rPr>
        <w:t>6-24</w:t>
      </w:r>
      <w:r>
        <w:rPr>
          <w:noProof/>
        </w:rPr>
        <w:fldChar w:fldCharType="end"/>
      </w:r>
    </w:p>
    <w:p w:rsidR="00B25544" w:rsidRDefault="00B25544">
      <w:pPr>
        <w:pStyle w:val="TOC2"/>
        <w:tabs>
          <w:tab w:val="left" w:pos="1134"/>
        </w:tabs>
        <w:rPr>
          <w:rFonts w:eastAsiaTheme="minorEastAsia"/>
          <w:noProof/>
          <w:kern w:val="0"/>
          <w:sz w:val="22"/>
          <w:szCs w:val="22"/>
          <w:lang w:eastAsia="en-GB"/>
        </w:rPr>
      </w:pPr>
      <w:r w:rsidRPr="00670E77">
        <w:rPr>
          <w:noProof/>
          <w:lang w:val="en-US"/>
        </w:rPr>
        <w:t>6.3</w:t>
      </w:r>
      <w:r>
        <w:rPr>
          <w:rFonts w:eastAsiaTheme="minorEastAsia"/>
          <w:noProof/>
          <w:kern w:val="0"/>
          <w:sz w:val="22"/>
          <w:szCs w:val="22"/>
          <w:lang w:eastAsia="en-GB"/>
        </w:rPr>
        <w:tab/>
      </w:r>
      <w:r w:rsidRPr="00670E77">
        <w:rPr>
          <w:noProof/>
          <w:lang w:val="en-US"/>
        </w:rPr>
        <w:t>Age structure</w:t>
      </w:r>
      <w:r>
        <w:rPr>
          <w:noProof/>
        </w:rPr>
        <w:tab/>
      </w:r>
      <w:r>
        <w:rPr>
          <w:noProof/>
        </w:rPr>
        <w:fldChar w:fldCharType="begin"/>
      </w:r>
      <w:r>
        <w:rPr>
          <w:noProof/>
        </w:rPr>
        <w:instrText xml:space="preserve"> PAGEREF _Toc504464739 \h </w:instrText>
      </w:r>
      <w:r>
        <w:rPr>
          <w:noProof/>
        </w:rPr>
      </w:r>
      <w:r>
        <w:rPr>
          <w:noProof/>
        </w:rPr>
        <w:fldChar w:fldCharType="separate"/>
      </w:r>
      <w:r>
        <w:rPr>
          <w:noProof/>
        </w:rPr>
        <w:t>6-25</w:t>
      </w:r>
      <w:r>
        <w:rPr>
          <w:noProof/>
        </w:rPr>
        <w:fldChar w:fldCharType="end"/>
      </w:r>
    </w:p>
    <w:p w:rsidR="00B25544" w:rsidRDefault="00B25544">
      <w:pPr>
        <w:pStyle w:val="TOC2"/>
        <w:tabs>
          <w:tab w:val="left" w:pos="1134"/>
        </w:tabs>
        <w:rPr>
          <w:rFonts w:eastAsiaTheme="minorEastAsia"/>
          <w:noProof/>
          <w:kern w:val="0"/>
          <w:sz w:val="22"/>
          <w:szCs w:val="22"/>
          <w:lang w:eastAsia="en-GB"/>
        </w:rPr>
      </w:pPr>
      <w:r w:rsidRPr="00670E77">
        <w:rPr>
          <w:noProof/>
          <w:lang w:val="en-US"/>
        </w:rPr>
        <w:t>6.4</w:t>
      </w:r>
      <w:r>
        <w:rPr>
          <w:rFonts w:eastAsiaTheme="minorEastAsia"/>
          <w:noProof/>
          <w:kern w:val="0"/>
          <w:sz w:val="22"/>
          <w:szCs w:val="22"/>
          <w:lang w:eastAsia="en-GB"/>
        </w:rPr>
        <w:tab/>
      </w:r>
      <w:r w:rsidRPr="00670E77">
        <w:rPr>
          <w:noProof/>
          <w:lang w:val="en-US"/>
        </w:rPr>
        <w:t>Household composition</w:t>
      </w:r>
      <w:r>
        <w:rPr>
          <w:noProof/>
        </w:rPr>
        <w:tab/>
      </w:r>
      <w:r>
        <w:rPr>
          <w:noProof/>
        </w:rPr>
        <w:fldChar w:fldCharType="begin"/>
      </w:r>
      <w:r>
        <w:rPr>
          <w:noProof/>
        </w:rPr>
        <w:instrText xml:space="preserve"> PAGEREF _Toc504464740 \h </w:instrText>
      </w:r>
      <w:r>
        <w:rPr>
          <w:noProof/>
        </w:rPr>
      </w:r>
      <w:r>
        <w:rPr>
          <w:noProof/>
        </w:rPr>
        <w:fldChar w:fldCharType="separate"/>
      </w:r>
      <w:r>
        <w:rPr>
          <w:noProof/>
        </w:rPr>
        <w:t>6-26</w:t>
      </w:r>
      <w:r>
        <w:rPr>
          <w:noProof/>
        </w:rPr>
        <w:fldChar w:fldCharType="end"/>
      </w:r>
    </w:p>
    <w:p w:rsidR="00B25544" w:rsidRDefault="00B25544">
      <w:pPr>
        <w:pStyle w:val="TOC2"/>
        <w:tabs>
          <w:tab w:val="left" w:pos="1134"/>
        </w:tabs>
        <w:rPr>
          <w:rFonts w:eastAsiaTheme="minorEastAsia"/>
          <w:noProof/>
          <w:kern w:val="0"/>
          <w:sz w:val="22"/>
          <w:szCs w:val="22"/>
          <w:lang w:eastAsia="en-GB"/>
        </w:rPr>
      </w:pPr>
      <w:r w:rsidRPr="00670E77">
        <w:rPr>
          <w:noProof/>
          <w:lang w:val="en-US"/>
        </w:rPr>
        <w:t>6.5</w:t>
      </w:r>
      <w:r>
        <w:rPr>
          <w:rFonts w:eastAsiaTheme="minorEastAsia"/>
          <w:noProof/>
          <w:kern w:val="0"/>
          <w:sz w:val="22"/>
          <w:szCs w:val="22"/>
          <w:lang w:eastAsia="en-GB"/>
        </w:rPr>
        <w:tab/>
      </w:r>
      <w:r w:rsidRPr="00670E77">
        <w:rPr>
          <w:noProof/>
          <w:lang w:val="en-US"/>
        </w:rPr>
        <w:t>Affordability</w:t>
      </w:r>
      <w:r>
        <w:rPr>
          <w:noProof/>
        </w:rPr>
        <w:tab/>
      </w:r>
      <w:r>
        <w:rPr>
          <w:noProof/>
        </w:rPr>
        <w:fldChar w:fldCharType="begin"/>
      </w:r>
      <w:r>
        <w:rPr>
          <w:noProof/>
        </w:rPr>
        <w:instrText xml:space="preserve"> PAGEREF _Toc504464741 \h </w:instrText>
      </w:r>
      <w:r>
        <w:rPr>
          <w:noProof/>
        </w:rPr>
      </w:r>
      <w:r>
        <w:rPr>
          <w:noProof/>
        </w:rPr>
        <w:fldChar w:fldCharType="separate"/>
      </w:r>
      <w:r>
        <w:rPr>
          <w:noProof/>
        </w:rPr>
        <w:t>6-27</w:t>
      </w:r>
      <w:r>
        <w:rPr>
          <w:noProof/>
        </w:rPr>
        <w:fldChar w:fldCharType="end"/>
      </w:r>
    </w:p>
    <w:p w:rsidR="00B25544" w:rsidRDefault="00B25544">
      <w:pPr>
        <w:pStyle w:val="TOC2"/>
        <w:tabs>
          <w:tab w:val="left" w:pos="1134"/>
        </w:tabs>
        <w:rPr>
          <w:rFonts w:eastAsiaTheme="minorEastAsia"/>
          <w:noProof/>
          <w:kern w:val="0"/>
          <w:sz w:val="22"/>
          <w:szCs w:val="22"/>
          <w:lang w:eastAsia="en-GB"/>
        </w:rPr>
      </w:pPr>
      <w:r w:rsidRPr="00670E77">
        <w:rPr>
          <w:noProof/>
          <w:lang w:val="en-US"/>
        </w:rPr>
        <w:t>6.6</w:t>
      </w:r>
      <w:r>
        <w:rPr>
          <w:rFonts w:eastAsiaTheme="minorEastAsia"/>
          <w:noProof/>
          <w:kern w:val="0"/>
          <w:sz w:val="22"/>
          <w:szCs w:val="22"/>
          <w:lang w:eastAsia="en-GB"/>
        </w:rPr>
        <w:tab/>
      </w:r>
      <w:r w:rsidRPr="00670E77">
        <w:rPr>
          <w:noProof/>
          <w:lang w:val="en-US"/>
        </w:rPr>
        <w:t>Housing waiting list</w:t>
      </w:r>
      <w:r>
        <w:rPr>
          <w:noProof/>
        </w:rPr>
        <w:tab/>
      </w:r>
      <w:r>
        <w:rPr>
          <w:noProof/>
        </w:rPr>
        <w:fldChar w:fldCharType="begin"/>
      </w:r>
      <w:r>
        <w:rPr>
          <w:noProof/>
        </w:rPr>
        <w:instrText xml:space="preserve"> PAGEREF _Toc504464742 \h </w:instrText>
      </w:r>
      <w:r>
        <w:rPr>
          <w:noProof/>
        </w:rPr>
      </w:r>
      <w:r>
        <w:rPr>
          <w:noProof/>
        </w:rPr>
        <w:fldChar w:fldCharType="separate"/>
      </w:r>
      <w:r>
        <w:rPr>
          <w:noProof/>
        </w:rPr>
        <w:t>6-31</w:t>
      </w:r>
      <w:r>
        <w:rPr>
          <w:noProof/>
        </w:rPr>
        <w:fldChar w:fldCharType="end"/>
      </w:r>
    </w:p>
    <w:p w:rsidR="00B25544" w:rsidRDefault="00B25544">
      <w:pPr>
        <w:pStyle w:val="TOC2"/>
        <w:tabs>
          <w:tab w:val="left" w:pos="1134"/>
        </w:tabs>
        <w:rPr>
          <w:rFonts w:eastAsiaTheme="minorEastAsia"/>
          <w:noProof/>
          <w:kern w:val="0"/>
          <w:sz w:val="22"/>
          <w:szCs w:val="22"/>
          <w:lang w:eastAsia="en-GB"/>
        </w:rPr>
      </w:pPr>
      <w:r w:rsidRPr="00670E77">
        <w:rPr>
          <w:noProof/>
          <w:lang w:val="en-US"/>
        </w:rPr>
        <w:t>6.7</w:t>
      </w:r>
      <w:r>
        <w:rPr>
          <w:rFonts w:eastAsiaTheme="minorEastAsia"/>
          <w:noProof/>
          <w:kern w:val="0"/>
          <w:sz w:val="22"/>
          <w:szCs w:val="22"/>
          <w:lang w:eastAsia="en-GB"/>
        </w:rPr>
        <w:tab/>
      </w:r>
      <w:r w:rsidRPr="00670E77">
        <w:rPr>
          <w:noProof/>
          <w:lang w:val="en-US"/>
        </w:rPr>
        <w:t>Conclusions</w:t>
      </w:r>
      <w:r>
        <w:rPr>
          <w:noProof/>
        </w:rPr>
        <w:tab/>
      </w:r>
      <w:r>
        <w:rPr>
          <w:noProof/>
        </w:rPr>
        <w:fldChar w:fldCharType="begin"/>
      </w:r>
      <w:r>
        <w:rPr>
          <w:noProof/>
        </w:rPr>
        <w:instrText xml:space="preserve"> PAGEREF _Toc504464743 \h </w:instrText>
      </w:r>
      <w:r>
        <w:rPr>
          <w:noProof/>
        </w:rPr>
      </w:r>
      <w:r>
        <w:rPr>
          <w:noProof/>
        </w:rPr>
        <w:fldChar w:fldCharType="separate"/>
      </w:r>
      <w:r>
        <w:rPr>
          <w:noProof/>
        </w:rPr>
        <w:t>6-32</w:t>
      </w:r>
      <w:r>
        <w:rPr>
          <w:noProof/>
        </w:rPr>
        <w:fldChar w:fldCharType="end"/>
      </w:r>
    </w:p>
    <w:p w:rsidR="00B25544" w:rsidRDefault="00B25544">
      <w:pPr>
        <w:pStyle w:val="TOC1"/>
        <w:rPr>
          <w:rFonts w:asciiTheme="minorHAnsi" w:eastAsiaTheme="minorEastAsia" w:hAnsiTheme="minorHAnsi"/>
          <w:noProof/>
          <w:kern w:val="0"/>
          <w:sz w:val="22"/>
          <w:szCs w:val="22"/>
          <w:lang w:eastAsia="en-GB"/>
        </w:rPr>
      </w:pPr>
      <w:r w:rsidRPr="00670E77">
        <w:rPr>
          <w:noProof/>
          <w:lang w:val="en-US"/>
        </w:rPr>
        <w:t>7.</w:t>
      </w:r>
      <w:r>
        <w:rPr>
          <w:rFonts w:asciiTheme="minorHAnsi" w:eastAsiaTheme="minorEastAsia" w:hAnsiTheme="minorHAnsi"/>
          <w:noProof/>
          <w:kern w:val="0"/>
          <w:sz w:val="22"/>
          <w:szCs w:val="22"/>
          <w:lang w:eastAsia="en-GB"/>
        </w:rPr>
        <w:tab/>
      </w:r>
      <w:r w:rsidRPr="00670E77">
        <w:rPr>
          <w:noProof/>
          <w:lang w:val="en-US"/>
        </w:rPr>
        <w:t>RQ3. What type (terrace, semi, bungalows, flats and detached) and size (number of habitable rooms) of housing is appropriate?</w:t>
      </w:r>
      <w:r>
        <w:rPr>
          <w:noProof/>
        </w:rPr>
        <w:tab/>
      </w:r>
      <w:r>
        <w:rPr>
          <w:noProof/>
        </w:rPr>
        <w:fldChar w:fldCharType="begin"/>
      </w:r>
      <w:r>
        <w:rPr>
          <w:noProof/>
        </w:rPr>
        <w:instrText xml:space="preserve"> PAGEREF _Toc504464744 \h </w:instrText>
      </w:r>
      <w:r>
        <w:rPr>
          <w:noProof/>
        </w:rPr>
      </w:r>
      <w:r>
        <w:rPr>
          <w:noProof/>
        </w:rPr>
        <w:fldChar w:fldCharType="separate"/>
      </w:r>
      <w:r>
        <w:rPr>
          <w:noProof/>
        </w:rPr>
        <w:t>7-37</w:t>
      </w:r>
      <w:r>
        <w:rPr>
          <w:noProof/>
        </w:rPr>
        <w:fldChar w:fldCharType="end"/>
      </w:r>
    </w:p>
    <w:p w:rsidR="00B25544" w:rsidRDefault="00B25544">
      <w:pPr>
        <w:pStyle w:val="TOC1"/>
        <w:rPr>
          <w:rFonts w:asciiTheme="minorHAnsi" w:eastAsiaTheme="minorEastAsia" w:hAnsiTheme="minorHAnsi"/>
          <w:noProof/>
          <w:kern w:val="0"/>
          <w:sz w:val="22"/>
          <w:szCs w:val="22"/>
          <w:lang w:eastAsia="en-GB"/>
        </w:rPr>
      </w:pPr>
      <w:r w:rsidRPr="00670E77">
        <w:rPr>
          <w:noProof/>
          <w:lang w:val="en-US"/>
        </w:rPr>
        <w:t>8.</w:t>
      </w:r>
      <w:r>
        <w:rPr>
          <w:rFonts w:asciiTheme="minorHAnsi" w:eastAsiaTheme="minorEastAsia" w:hAnsiTheme="minorHAnsi"/>
          <w:noProof/>
          <w:kern w:val="0"/>
          <w:sz w:val="22"/>
          <w:szCs w:val="22"/>
          <w:lang w:eastAsia="en-GB"/>
        </w:rPr>
        <w:tab/>
      </w:r>
      <w:r w:rsidRPr="00670E77">
        <w:rPr>
          <w:noProof/>
          <w:lang w:val="en-US"/>
        </w:rPr>
        <w:t>RQ4: What provision should be made for specialist housing within the NPA?</w:t>
      </w:r>
      <w:r>
        <w:rPr>
          <w:noProof/>
        </w:rPr>
        <w:tab/>
      </w:r>
      <w:r>
        <w:rPr>
          <w:noProof/>
        </w:rPr>
        <w:fldChar w:fldCharType="begin"/>
      </w:r>
      <w:r>
        <w:rPr>
          <w:noProof/>
        </w:rPr>
        <w:instrText xml:space="preserve"> PAGEREF _Toc504464745 \h </w:instrText>
      </w:r>
      <w:r>
        <w:rPr>
          <w:noProof/>
        </w:rPr>
      </w:r>
      <w:r>
        <w:rPr>
          <w:noProof/>
        </w:rPr>
        <w:fldChar w:fldCharType="separate"/>
      </w:r>
      <w:r>
        <w:rPr>
          <w:noProof/>
        </w:rPr>
        <w:t>8-41</w:t>
      </w:r>
      <w:r>
        <w:rPr>
          <w:noProof/>
        </w:rPr>
        <w:fldChar w:fldCharType="end"/>
      </w:r>
    </w:p>
    <w:p w:rsidR="00B25544" w:rsidRDefault="00B25544">
      <w:pPr>
        <w:pStyle w:val="TOC2"/>
        <w:tabs>
          <w:tab w:val="left" w:pos="1134"/>
        </w:tabs>
        <w:rPr>
          <w:rFonts w:eastAsiaTheme="minorEastAsia"/>
          <w:noProof/>
          <w:kern w:val="0"/>
          <w:sz w:val="22"/>
          <w:szCs w:val="22"/>
          <w:lang w:eastAsia="en-GB"/>
        </w:rPr>
      </w:pPr>
      <w:r w:rsidRPr="00670E77">
        <w:rPr>
          <w:rFonts w:eastAsia="Calibri"/>
          <w:noProof/>
        </w:rPr>
        <w:t>8.1</w:t>
      </w:r>
      <w:r>
        <w:rPr>
          <w:rFonts w:eastAsiaTheme="minorEastAsia"/>
          <w:noProof/>
          <w:kern w:val="0"/>
          <w:sz w:val="22"/>
          <w:szCs w:val="22"/>
          <w:lang w:eastAsia="en-GB"/>
        </w:rPr>
        <w:tab/>
      </w:r>
      <w:r w:rsidRPr="00670E77">
        <w:rPr>
          <w:rFonts w:eastAsia="Calibri"/>
          <w:noProof/>
        </w:rPr>
        <w:t>Sheltered and extra-care housing</w:t>
      </w:r>
      <w:r>
        <w:rPr>
          <w:noProof/>
        </w:rPr>
        <w:tab/>
      </w:r>
      <w:r>
        <w:rPr>
          <w:noProof/>
        </w:rPr>
        <w:fldChar w:fldCharType="begin"/>
      </w:r>
      <w:r>
        <w:rPr>
          <w:noProof/>
        </w:rPr>
        <w:instrText xml:space="preserve"> PAGEREF _Toc504464746 \h </w:instrText>
      </w:r>
      <w:r>
        <w:rPr>
          <w:noProof/>
        </w:rPr>
      </w:r>
      <w:r>
        <w:rPr>
          <w:noProof/>
        </w:rPr>
        <w:fldChar w:fldCharType="separate"/>
      </w:r>
      <w:r>
        <w:rPr>
          <w:noProof/>
        </w:rPr>
        <w:t>8-41</w:t>
      </w:r>
      <w:r>
        <w:rPr>
          <w:noProof/>
        </w:rPr>
        <w:fldChar w:fldCharType="end"/>
      </w:r>
    </w:p>
    <w:p w:rsidR="00B25544" w:rsidRDefault="00B25544">
      <w:pPr>
        <w:pStyle w:val="TOC1"/>
        <w:rPr>
          <w:rFonts w:asciiTheme="minorHAnsi" w:eastAsiaTheme="minorEastAsia" w:hAnsiTheme="minorHAnsi"/>
          <w:noProof/>
          <w:kern w:val="0"/>
          <w:sz w:val="22"/>
          <w:szCs w:val="22"/>
          <w:lang w:eastAsia="en-GB"/>
        </w:rPr>
      </w:pPr>
      <w:r w:rsidRPr="00670E77">
        <w:rPr>
          <w:noProof/>
          <w:lang w:val="en-US"/>
        </w:rPr>
        <w:t>9.</w:t>
      </w:r>
      <w:r>
        <w:rPr>
          <w:rFonts w:asciiTheme="minorHAnsi" w:eastAsiaTheme="minorEastAsia" w:hAnsiTheme="minorHAnsi"/>
          <w:noProof/>
          <w:kern w:val="0"/>
          <w:sz w:val="22"/>
          <w:szCs w:val="22"/>
          <w:lang w:eastAsia="en-GB"/>
        </w:rPr>
        <w:tab/>
      </w:r>
      <w:r w:rsidRPr="00670E77">
        <w:rPr>
          <w:noProof/>
          <w:lang w:val="en-US"/>
        </w:rPr>
        <w:t>Market signals</w:t>
      </w:r>
      <w:r>
        <w:rPr>
          <w:noProof/>
        </w:rPr>
        <w:tab/>
      </w:r>
      <w:r>
        <w:rPr>
          <w:noProof/>
        </w:rPr>
        <w:fldChar w:fldCharType="begin"/>
      </w:r>
      <w:r>
        <w:rPr>
          <w:noProof/>
        </w:rPr>
        <w:instrText xml:space="preserve"> PAGEREF _Toc504464747 \h </w:instrText>
      </w:r>
      <w:r>
        <w:rPr>
          <w:noProof/>
        </w:rPr>
      </w:r>
      <w:r>
        <w:rPr>
          <w:noProof/>
        </w:rPr>
        <w:fldChar w:fldCharType="separate"/>
      </w:r>
      <w:r>
        <w:rPr>
          <w:noProof/>
        </w:rPr>
        <w:t>9-46</w:t>
      </w:r>
      <w:r>
        <w:rPr>
          <w:noProof/>
        </w:rPr>
        <w:fldChar w:fldCharType="end"/>
      </w:r>
    </w:p>
    <w:p w:rsidR="00B25544" w:rsidRDefault="00B25544">
      <w:pPr>
        <w:pStyle w:val="TOC2"/>
        <w:tabs>
          <w:tab w:val="left" w:pos="1134"/>
        </w:tabs>
        <w:rPr>
          <w:rFonts w:eastAsiaTheme="minorEastAsia"/>
          <w:noProof/>
          <w:kern w:val="0"/>
          <w:sz w:val="22"/>
          <w:szCs w:val="22"/>
          <w:lang w:eastAsia="en-GB"/>
        </w:rPr>
      </w:pPr>
      <w:r w:rsidRPr="00670E77">
        <w:rPr>
          <w:noProof/>
          <w:lang w:val="en-US"/>
        </w:rPr>
        <w:t>9.1</w:t>
      </w:r>
      <w:r>
        <w:rPr>
          <w:rFonts w:eastAsiaTheme="minorEastAsia"/>
          <w:noProof/>
          <w:kern w:val="0"/>
          <w:sz w:val="22"/>
          <w:szCs w:val="22"/>
          <w:lang w:eastAsia="en-GB"/>
        </w:rPr>
        <w:tab/>
      </w:r>
      <w:r w:rsidRPr="00670E77">
        <w:rPr>
          <w:noProof/>
          <w:lang w:val="en-US"/>
        </w:rPr>
        <w:t>Employment and commuting trends</w:t>
      </w:r>
      <w:r>
        <w:rPr>
          <w:noProof/>
        </w:rPr>
        <w:tab/>
      </w:r>
      <w:r>
        <w:rPr>
          <w:noProof/>
        </w:rPr>
        <w:fldChar w:fldCharType="begin"/>
      </w:r>
      <w:r>
        <w:rPr>
          <w:noProof/>
        </w:rPr>
        <w:instrText xml:space="preserve"> PAGEREF _Toc504464748 \h </w:instrText>
      </w:r>
      <w:r>
        <w:rPr>
          <w:noProof/>
        </w:rPr>
      </w:r>
      <w:r>
        <w:rPr>
          <w:noProof/>
        </w:rPr>
        <w:fldChar w:fldCharType="separate"/>
      </w:r>
      <w:r>
        <w:rPr>
          <w:noProof/>
        </w:rPr>
        <w:t>9-46</w:t>
      </w:r>
      <w:r>
        <w:rPr>
          <w:noProof/>
        </w:rPr>
        <w:fldChar w:fldCharType="end"/>
      </w:r>
    </w:p>
    <w:p w:rsidR="00B25544" w:rsidRDefault="00B25544">
      <w:pPr>
        <w:pStyle w:val="TOC2"/>
        <w:tabs>
          <w:tab w:val="left" w:pos="1134"/>
        </w:tabs>
        <w:rPr>
          <w:rFonts w:eastAsiaTheme="minorEastAsia"/>
          <w:noProof/>
          <w:kern w:val="0"/>
          <w:sz w:val="22"/>
          <w:szCs w:val="22"/>
          <w:lang w:eastAsia="en-GB"/>
        </w:rPr>
      </w:pPr>
      <w:r w:rsidRPr="00670E77">
        <w:rPr>
          <w:noProof/>
          <w:lang w:val="en-US"/>
        </w:rPr>
        <w:t>9.2</w:t>
      </w:r>
      <w:r>
        <w:rPr>
          <w:rFonts w:eastAsiaTheme="minorEastAsia"/>
          <w:noProof/>
          <w:kern w:val="0"/>
          <w:sz w:val="22"/>
          <w:szCs w:val="22"/>
          <w:lang w:eastAsia="en-GB"/>
        </w:rPr>
        <w:tab/>
      </w:r>
      <w:r w:rsidRPr="00670E77">
        <w:rPr>
          <w:noProof/>
          <w:lang w:val="en-US"/>
        </w:rPr>
        <w:t>Housing transactions: prices</w:t>
      </w:r>
      <w:r>
        <w:rPr>
          <w:noProof/>
        </w:rPr>
        <w:tab/>
      </w:r>
      <w:r>
        <w:rPr>
          <w:noProof/>
        </w:rPr>
        <w:fldChar w:fldCharType="begin"/>
      </w:r>
      <w:r>
        <w:rPr>
          <w:noProof/>
        </w:rPr>
        <w:instrText xml:space="preserve"> PAGEREF _Toc504464749 \h </w:instrText>
      </w:r>
      <w:r>
        <w:rPr>
          <w:noProof/>
        </w:rPr>
      </w:r>
      <w:r>
        <w:rPr>
          <w:noProof/>
        </w:rPr>
        <w:fldChar w:fldCharType="separate"/>
      </w:r>
      <w:r>
        <w:rPr>
          <w:noProof/>
        </w:rPr>
        <w:t>9-48</w:t>
      </w:r>
      <w:r>
        <w:rPr>
          <w:noProof/>
        </w:rPr>
        <w:fldChar w:fldCharType="end"/>
      </w:r>
    </w:p>
    <w:p w:rsidR="00B25544" w:rsidRDefault="00B25544">
      <w:pPr>
        <w:pStyle w:val="TOC2"/>
        <w:tabs>
          <w:tab w:val="left" w:pos="1134"/>
        </w:tabs>
        <w:rPr>
          <w:rFonts w:eastAsiaTheme="minorEastAsia"/>
          <w:noProof/>
          <w:kern w:val="0"/>
          <w:sz w:val="22"/>
          <w:szCs w:val="22"/>
          <w:lang w:eastAsia="en-GB"/>
        </w:rPr>
      </w:pPr>
      <w:r w:rsidRPr="00670E77">
        <w:rPr>
          <w:noProof/>
          <w:lang w:val="en-US"/>
        </w:rPr>
        <w:t>9.3</w:t>
      </w:r>
      <w:r>
        <w:rPr>
          <w:rFonts w:eastAsiaTheme="minorEastAsia"/>
          <w:noProof/>
          <w:kern w:val="0"/>
          <w:sz w:val="22"/>
          <w:szCs w:val="22"/>
          <w:lang w:eastAsia="en-GB"/>
        </w:rPr>
        <w:tab/>
      </w:r>
      <w:r w:rsidRPr="00670E77">
        <w:rPr>
          <w:noProof/>
          <w:lang w:val="en-US"/>
        </w:rPr>
        <w:t>Housing transactions: volume</w:t>
      </w:r>
      <w:r>
        <w:rPr>
          <w:noProof/>
        </w:rPr>
        <w:tab/>
      </w:r>
      <w:r>
        <w:rPr>
          <w:noProof/>
        </w:rPr>
        <w:fldChar w:fldCharType="begin"/>
      </w:r>
      <w:r>
        <w:rPr>
          <w:noProof/>
        </w:rPr>
        <w:instrText xml:space="preserve"> PAGEREF _Toc504464750 \h </w:instrText>
      </w:r>
      <w:r>
        <w:rPr>
          <w:noProof/>
        </w:rPr>
      </w:r>
      <w:r>
        <w:rPr>
          <w:noProof/>
        </w:rPr>
        <w:fldChar w:fldCharType="separate"/>
      </w:r>
      <w:r>
        <w:rPr>
          <w:noProof/>
        </w:rPr>
        <w:t>9-49</w:t>
      </w:r>
      <w:r>
        <w:rPr>
          <w:noProof/>
        </w:rPr>
        <w:fldChar w:fldCharType="end"/>
      </w:r>
    </w:p>
    <w:p w:rsidR="00B25544" w:rsidRDefault="00B25544">
      <w:pPr>
        <w:pStyle w:val="TOC2"/>
        <w:tabs>
          <w:tab w:val="left" w:pos="1134"/>
        </w:tabs>
        <w:rPr>
          <w:rFonts w:eastAsiaTheme="minorEastAsia"/>
          <w:noProof/>
          <w:kern w:val="0"/>
          <w:sz w:val="22"/>
          <w:szCs w:val="22"/>
          <w:lang w:eastAsia="en-GB"/>
        </w:rPr>
      </w:pPr>
      <w:r w:rsidRPr="00670E77">
        <w:rPr>
          <w:noProof/>
          <w:lang w:val="en-US"/>
        </w:rPr>
        <w:t>9.4</w:t>
      </w:r>
      <w:r>
        <w:rPr>
          <w:rFonts w:eastAsiaTheme="minorEastAsia"/>
          <w:noProof/>
          <w:kern w:val="0"/>
          <w:sz w:val="22"/>
          <w:szCs w:val="22"/>
          <w:lang w:eastAsia="en-GB"/>
        </w:rPr>
        <w:tab/>
      </w:r>
      <w:r w:rsidRPr="00670E77">
        <w:rPr>
          <w:noProof/>
          <w:lang w:val="en-US"/>
        </w:rPr>
        <w:t>Migration</w:t>
      </w:r>
      <w:r>
        <w:rPr>
          <w:noProof/>
        </w:rPr>
        <w:tab/>
      </w:r>
      <w:r>
        <w:rPr>
          <w:noProof/>
        </w:rPr>
        <w:fldChar w:fldCharType="begin"/>
      </w:r>
      <w:r>
        <w:rPr>
          <w:noProof/>
        </w:rPr>
        <w:instrText xml:space="preserve"> PAGEREF _Toc504464751 \h </w:instrText>
      </w:r>
      <w:r>
        <w:rPr>
          <w:noProof/>
        </w:rPr>
      </w:r>
      <w:r>
        <w:rPr>
          <w:noProof/>
        </w:rPr>
        <w:fldChar w:fldCharType="separate"/>
      </w:r>
      <w:r>
        <w:rPr>
          <w:noProof/>
        </w:rPr>
        <w:t>9-50</w:t>
      </w:r>
      <w:r>
        <w:rPr>
          <w:noProof/>
        </w:rPr>
        <w:fldChar w:fldCharType="end"/>
      </w:r>
    </w:p>
    <w:p w:rsidR="00B25544" w:rsidRDefault="00B25544">
      <w:pPr>
        <w:pStyle w:val="TOC2"/>
        <w:tabs>
          <w:tab w:val="left" w:pos="1134"/>
        </w:tabs>
        <w:rPr>
          <w:rFonts w:eastAsiaTheme="minorEastAsia"/>
          <w:noProof/>
          <w:kern w:val="0"/>
          <w:sz w:val="22"/>
          <w:szCs w:val="22"/>
          <w:lang w:eastAsia="en-GB"/>
        </w:rPr>
      </w:pPr>
      <w:r w:rsidRPr="00670E77">
        <w:rPr>
          <w:noProof/>
          <w:lang w:val="en-US"/>
        </w:rPr>
        <w:t>9.5</w:t>
      </w:r>
      <w:r>
        <w:rPr>
          <w:rFonts w:eastAsiaTheme="minorEastAsia"/>
          <w:noProof/>
          <w:kern w:val="0"/>
          <w:sz w:val="22"/>
          <w:szCs w:val="22"/>
          <w:lang w:eastAsia="en-GB"/>
        </w:rPr>
        <w:tab/>
      </w:r>
      <w:r w:rsidRPr="00670E77">
        <w:rPr>
          <w:noProof/>
          <w:lang w:val="en-US"/>
        </w:rPr>
        <w:t>Overcrowding and concealed families</w:t>
      </w:r>
      <w:r>
        <w:rPr>
          <w:noProof/>
        </w:rPr>
        <w:tab/>
      </w:r>
      <w:r>
        <w:rPr>
          <w:noProof/>
        </w:rPr>
        <w:fldChar w:fldCharType="begin"/>
      </w:r>
      <w:r>
        <w:rPr>
          <w:noProof/>
        </w:rPr>
        <w:instrText xml:space="preserve"> PAGEREF _Toc504464752 \h </w:instrText>
      </w:r>
      <w:r>
        <w:rPr>
          <w:noProof/>
        </w:rPr>
      </w:r>
      <w:r>
        <w:rPr>
          <w:noProof/>
        </w:rPr>
        <w:fldChar w:fldCharType="separate"/>
      </w:r>
      <w:r>
        <w:rPr>
          <w:noProof/>
        </w:rPr>
        <w:t>9-51</w:t>
      </w:r>
      <w:r>
        <w:rPr>
          <w:noProof/>
        </w:rPr>
        <w:fldChar w:fldCharType="end"/>
      </w:r>
    </w:p>
    <w:p w:rsidR="00B25544" w:rsidRDefault="00B25544">
      <w:pPr>
        <w:pStyle w:val="TOC2"/>
        <w:tabs>
          <w:tab w:val="left" w:pos="1134"/>
        </w:tabs>
        <w:rPr>
          <w:rFonts w:eastAsiaTheme="minorEastAsia"/>
          <w:noProof/>
          <w:kern w:val="0"/>
          <w:sz w:val="22"/>
          <w:szCs w:val="22"/>
          <w:lang w:eastAsia="en-GB"/>
        </w:rPr>
      </w:pPr>
      <w:r w:rsidRPr="00670E77">
        <w:rPr>
          <w:noProof/>
          <w:lang w:val="en-US"/>
        </w:rPr>
        <w:t>9.6</w:t>
      </w:r>
      <w:r>
        <w:rPr>
          <w:rFonts w:eastAsiaTheme="minorEastAsia"/>
          <w:noProof/>
          <w:kern w:val="0"/>
          <w:sz w:val="22"/>
          <w:szCs w:val="22"/>
          <w:lang w:eastAsia="en-GB"/>
        </w:rPr>
        <w:tab/>
      </w:r>
      <w:r w:rsidRPr="00670E77">
        <w:rPr>
          <w:noProof/>
          <w:lang w:val="en-US"/>
        </w:rPr>
        <w:t>Rate of development</w:t>
      </w:r>
      <w:r>
        <w:rPr>
          <w:noProof/>
        </w:rPr>
        <w:tab/>
      </w:r>
      <w:r>
        <w:rPr>
          <w:noProof/>
        </w:rPr>
        <w:fldChar w:fldCharType="begin"/>
      </w:r>
      <w:r>
        <w:rPr>
          <w:noProof/>
        </w:rPr>
        <w:instrText xml:space="preserve"> PAGEREF _Toc504464753 \h </w:instrText>
      </w:r>
      <w:r>
        <w:rPr>
          <w:noProof/>
        </w:rPr>
      </w:r>
      <w:r>
        <w:rPr>
          <w:noProof/>
        </w:rPr>
        <w:fldChar w:fldCharType="separate"/>
      </w:r>
      <w:r>
        <w:rPr>
          <w:noProof/>
        </w:rPr>
        <w:t>9-52</w:t>
      </w:r>
      <w:r>
        <w:rPr>
          <w:noProof/>
        </w:rPr>
        <w:fldChar w:fldCharType="end"/>
      </w:r>
    </w:p>
    <w:p w:rsidR="00B25544" w:rsidRDefault="00B25544">
      <w:pPr>
        <w:pStyle w:val="TOC1"/>
        <w:rPr>
          <w:rFonts w:asciiTheme="minorHAnsi" w:eastAsiaTheme="minorEastAsia" w:hAnsiTheme="minorHAnsi"/>
          <w:noProof/>
          <w:kern w:val="0"/>
          <w:sz w:val="22"/>
          <w:szCs w:val="22"/>
          <w:lang w:eastAsia="en-GB"/>
        </w:rPr>
      </w:pPr>
      <w:r w:rsidRPr="00670E77">
        <w:rPr>
          <w:noProof/>
          <w:lang w:val="en-US"/>
        </w:rPr>
        <w:t>10.</w:t>
      </w:r>
      <w:r>
        <w:rPr>
          <w:rFonts w:asciiTheme="minorHAnsi" w:eastAsiaTheme="minorEastAsia" w:hAnsiTheme="minorHAnsi"/>
          <w:noProof/>
          <w:kern w:val="0"/>
          <w:sz w:val="22"/>
          <w:szCs w:val="22"/>
          <w:lang w:eastAsia="en-GB"/>
        </w:rPr>
        <w:tab/>
      </w:r>
      <w:r w:rsidRPr="00670E77">
        <w:rPr>
          <w:noProof/>
          <w:lang w:val="en-US"/>
        </w:rPr>
        <w:t>Conclusions</w:t>
      </w:r>
      <w:r>
        <w:rPr>
          <w:noProof/>
        </w:rPr>
        <w:tab/>
      </w:r>
      <w:r>
        <w:rPr>
          <w:noProof/>
        </w:rPr>
        <w:fldChar w:fldCharType="begin"/>
      </w:r>
      <w:r>
        <w:rPr>
          <w:noProof/>
        </w:rPr>
        <w:instrText xml:space="preserve"> PAGEREF _Toc504464754 \h </w:instrText>
      </w:r>
      <w:r>
        <w:rPr>
          <w:noProof/>
        </w:rPr>
      </w:r>
      <w:r>
        <w:rPr>
          <w:noProof/>
        </w:rPr>
        <w:fldChar w:fldCharType="separate"/>
      </w:r>
      <w:r>
        <w:rPr>
          <w:noProof/>
        </w:rPr>
        <w:t>10-54</w:t>
      </w:r>
      <w:r>
        <w:rPr>
          <w:noProof/>
        </w:rPr>
        <w:fldChar w:fldCharType="end"/>
      </w:r>
    </w:p>
    <w:p w:rsidR="00B25544" w:rsidRDefault="00B25544">
      <w:pPr>
        <w:pStyle w:val="TOC2"/>
        <w:tabs>
          <w:tab w:val="left" w:pos="1134"/>
        </w:tabs>
        <w:rPr>
          <w:rFonts w:eastAsiaTheme="minorEastAsia"/>
          <w:noProof/>
          <w:kern w:val="0"/>
          <w:sz w:val="22"/>
          <w:szCs w:val="22"/>
          <w:lang w:eastAsia="en-GB"/>
        </w:rPr>
      </w:pPr>
      <w:r>
        <w:rPr>
          <w:noProof/>
        </w:rPr>
        <w:t>10.1</w:t>
      </w:r>
      <w:r>
        <w:rPr>
          <w:rFonts w:eastAsiaTheme="minorEastAsia"/>
          <w:noProof/>
          <w:kern w:val="0"/>
          <w:sz w:val="22"/>
          <w:szCs w:val="22"/>
          <w:lang w:eastAsia="en-GB"/>
        </w:rPr>
        <w:tab/>
      </w:r>
      <w:r w:rsidRPr="00670E77">
        <w:rPr>
          <w:noProof/>
          <w:lang w:val="en-US"/>
        </w:rPr>
        <w:t>Overview</w:t>
      </w:r>
      <w:r>
        <w:rPr>
          <w:noProof/>
        </w:rPr>
        <w:tab/>
      </w:r>
      <w:r>
        <w:rPr>
          <w:noProof/>
        </w:rPr>
        <w:fldChar w:fldCharType="begin"/>
      </w:r>
      <w:r>
        <w:rPr>
          <w:noProof/>
        </w:rPr>
        <w:instrText xml:space="preserve"> PAGEREF _Toc504464755 \h </w:instrText>
      </w:r>
      <w:r>
        <w:rPr>
          <w:noProof/>
        </w:rPr>
      </w:r>
      <w:r>
        <w:rPr>
          <w:noProof/>
        </w:rPr>
        <w:fldChar w:fldCharType="separate"/>
      </w:r>
      <w:r>
        <w:rPr>
          <w:noProof/>
        </w:rPr>
        <w:t>10-54</w:t>
      </w:r>
      <w:r>
        <w:rPr>
          <w:noProof/>
        </w:rPr>
        <w:fldChar w:fldCharType="end"/>
      </w:r>
    </w:p>
    <w:p w:rsidR="00B25544" w:rsidRDefault="00B25544">
      <w:pPr>
        <w:pStyle w:val="TOC2"/>
        <w:tabs>
          <w:tab w:val="left" w:pos="1134"/>
        </w:tabs>
        <w:rPr>
          <w:rFonts w:eastAsiaTheme="minorEastAsia"/>
          <w:noProof/>
          <w:kern w:val="0"/>
          <w:sz w:val="22"/>
          <w:szCs w:val="22"/>
          <w:lang w:eastAsia="en-GB"/>
        </w:rPr>
      </w:pPr>
      <w:r w:rsidRPr="00670E77">
        <w:rPr>
          <w:noProof/>
          <w:lang w:val="en-US"/>
        </w:rPr>
        <w:t>10.2</w:t>
      </w:r>
      <w:r>
        <w:rPr>
          <w:rFonts w:eastAsiaTheme="minorEastAsia"/>
          <w:noProof/>
          <w:kern w:val="0"/>
          <w:sz w:val="22"/>
          <w:szCs w:val="22"/>
          <w:lang w:eastAsia="en-GB"/>
        </w:rPr>
        <w:tab/>
      </w:r>
      <w:r w:rsidRPr="00670E77">
        <w:rPr>
          <w:noProof/>
          <w:lang w:val="en-US"/>
        </w:rPr>
        <w:t>Recommendations for next steps</w:t>
      </w:r>
      <w:r>
        <w:rPr>
          <w:noProof/>
        </w:rPr>
        <w:tab/>
      </w:r>
      <w:r>
        <w:rPr>
          <w:noProof/>
        </w:rPr>
        <w:fldChar w:fldCharType="begin"/>
      </w:r>
      <w:r>
        <w:rPr>
          <w:noProof/>
        </w:rPr>
        <w:instrText xml:space="preserve"> PAGEREF _Toc504464756 \h </w:instrText>
      </w:r>
      <w:r>
        <w:rPr>
          <w:noProof/>
        </w:rPr>
      </w:r>
      <w:r>
        <w:rPr>
          <w:noProof/>
        </w:rPr>
        <w:fldChar w:fldCharType="separate"/>
      </w:r>
      <w:r>
        <w:rPr>
          <w:noProof/>
        </w:rPr>
        <w:t>10-58</w:t>
      </w:r>
      <w:r>
        <w:rPr>
          <w:noProof/>
        </w:rPr>
        <w:fldChar w:fldCharType="end"/>
      </w:r>
    </w:p>
    <w:p w:rsidR="003964F2" w:rsidRDefault="00B25544" w:rsidP="003964F2">
      <w:pPr>
        <w:pStyle w:val="BodyText"/>
        <w:rPr>
          <w:noProof/>
        </w:rPr>
      </w:pPr>
      <w:r>
        <w:rPr>
          <w:rFonts w:asciiTheme="majorHAnsi" w:hAnsiTheme="majorHAnsi"/>
          <w:noProof/>
        </w:rPr>
        <w:fldChar w:fldCharType="end"/>
      </w:r>
    </w:p>
    <w:bookmarkEnd w:id="35"/>
    <w:p w:rsidR="007935AD" w:rsidRDefault="007935AD" w:rsidP="000A14DC">
      <w:pPr>
        <w:rPr>
          <w:b/>
          <w:bCs/>
          <w:noProof/>
        </w:rPr>
        <w:sectPr w:rsidR="007935AD" w:rsidSect="00B25544">
          <w:headerReference w:type="default" r:id="rId11"/>
          <w:footerReference w:type="default" r:id="rId12"/>
          <w:pgSz w:w="11906" w:h="16838" w:code="9"/>
          <w:pgMar w:top="1134" w:right="1440" w:bottom="851" w:left="1440" w:header="709" w:footer="284" w:gutter="0"/>
          <w:cols w:space="708"/>
          <w:docGrid w:linePitch="360"/>
        </w:sectPr>
      </w:pPr>
    </w:p>
    <w:p w:rsidR="00E80CC8" w:rsidRPr="00FC4BB9" w:rsidRDefault="00FC4BB9" w:rsidP="00E80CC8">
      <w:pPr>
        <w:pStyle w:val="BodyText"/>
        <w:rPr>
          <w:b/>
          <w:bCs/>
          <w:sz w:val="22"/>
          <w:szCs w:val="22"/>
          <w:lang w:val="en-US"/>
        </w:rPr>
      </w:pPr>
      <w:r w:rsidRPr="00FC4BB9">
        <w:rPr>
          <w:b/>
          <w:bCs/>
          <w:sz w:val="22"/>
          <w:szCs w:val="22"/>
          <w:lang w:val="en-US"/>
        </w:rPr>
        <w:lastRenderedPageBreak/>
        <w:t>List of acronyms used in the text:</w:t>
      </w:r>
    </w:p>
    <w:p w:rsidR="00E80CC8" w:rsidRPr="00E80CC8" w:rsidRDefault="00E80CC8" w:rsidP="00E80CC8">
      <w:pPr>
        <w:pStyle w:val="BodyText"/>
        <w:rPr>
          <w:bCs/>
          <w:sz w:val="22"/>
          <w:szCs w:val="22"/>
          <w:lang w:val="en-US"/>
        </w:rPr>
      </w:pPr>
    </w:p>
    <w:p w:rsidR="00E80CC8" w:rsidRDefault="00E80CC8" w:rsidP="00E80CC8">
      <w:pPr>
        <w:pStyle w:val="BodyText"/>
        <w:rPr>
          <w:sz w:val="22"/>
          <w:szCs w:val="22"/>
          <w:lang w:val="en-US"/>
        </w:rPr>
      </w:pPr>
      <w:r w:rsidRPr="00E80CC8">
        <w:rPr>
          <w:sz w:val="22"/>
          <w:szCs w:val="22"/>
          <w:lang w:val="en-US"/>
        </w:rPr>
        <w:t xml:space="preserve">AH </w:t>
      </w:r>
      <w:r w:rsidRPr="00E80CC8">
        <w:rPr>
          <w:sz w:val="22"/>
          <w:szCs w:val="22"/>
          <w:lang w:val="en-US"/>
        </w:rPr>
        <w:tab/>
      </w:r>
      <w:r w:rsidR="00BA1D3D">
        <w:rPr>
          <w:sz w:val="22"/>
          <w:szCs w:val="22"/>
          <w:lang w:val="en-US"/>
        </w:rPr>
        <w:tab/>
      </w:r>
      <w:r w:rsidRPr="00E80CC8">
        <w:rPr>
          <w:sz w:val="22"/>
          <w:szCs w:val="22"/>
          <w:lang w:val="en-US"/>
        </w:rPr>
        <w:t>Affordable Housing (NPPF definition)</w:t>
      </w:r>
    </w:p>
    <w:p w:rsidR="00BA1D3D" w:rsidRPr="00E80CC8" w:rsidRDefault="00BA1D3D" w:rsidP="00E80CC8">
      <w:pPr>
        <w:pStyle w:val="BodyText"/>
        <w:rPr>
          <w:sz w:val="22"/>
          <w:szCs w:val="22"/>
          <w:lang w:val="en-US"/>
        </w:rPr>
      </w:pPr>
      <w:r w:rsidRPr="00BA1D3D">
        <w:rPr>
          <w:sz w:val="22"/>
          <w:szCs w:val="22"/>
          <w:lang w:val="en-US"/>
        </w:rPr>
        <w:t>AHDNS14</w:t>
      </w:r>
      <w:r>
        <w:rPr>
          <w:sz w:val="22"/>
          <w:szCs w:val="22"/>
          <w:lang w:val="en-US"/>
        </w:rPr>
        <w:tab/>
      </w:r>
      <w:r w:rsidRPr="00BA1D3D">
        <w:rPr>
          <w:sz w:val="22"/>
          <w:szCs w:val="22"/>
          <w:lang w:val="en-US"/>
        </w:rPr>
        <w:t xml:space="preserve">Assessment of Housing Development Needs Study </w:t>
      </w:r>
    </w:p>
    <w:p w:rsidR="00E80CC8" w:rsidRDefault="00E80CC8" w:rsidP="00E80CC8">
      <w:pPr>
        <w:pStyle w:val="BodyText"/>
        <w:rPr>
          <w:sz w:val="22"/>
          <w:szCs w:val="22"/>
          <w:lang w:val="en-US"/>
        </w:rPr>
      </w:pPr>
      <w:r w:rsidRPr="00E80CC8">
        <w:rPr>
          <w:sz w:val="22"/>
          <w:szCs w:val="22"/>
          <w:lang w:val="en-US"/>
        </w:rPr>
        <w:t xml:space="preserve">AMH </w:t>
      </w:r>
      <w:r w:rsidRPr="00E80CC8">
        <w:rPr>
          <w:sz w:val="22"/>
          <w:szCs w:val="22"/>
          <w:lang w:val="en-US"/>
        </w:rPr>
        <w:tab/>
      </w:r>
      <w:r w:rsidR="00BA1D3D">
        <w:rPr>
          <w:sz w:val="22"/>
          <w:szCs w:val="22"/>
          <w:lang w:val="en-US"/>
        </w:rPr>
        <w:tab/>
      </w:r>
      <w:r w:rsidRPr="00E80CC8">
        <w:rPr>
          <w:sz w:val="22"/>
          <w:szCs w:val="22"/>
          <w:lang w:val="en-US"/>
        </w:rPr>
        <w:t>Affordable Market Housing</w:t>
      </w:r>
    </w:p>
    <w:p w:rsidR="00147691" w:rsidRDefault="00BA1D3D" w:rsidP="00E80CC8">
      <w:pPr>
        <w:pStyle w:val="BodyText"/>
        <w:rPr>
          <w:sz w:val="22"/>
          <w:szCs w:val="22"/>
          <w:lang w:val="en-US"/>
        </w:rPr>
      </w:pPr>
      <w:r>
        <w:rPr>
          <w:sz w:val="22"/>
          <w:szCs w:val="22"/>
          <w:lang w:val="en-US"/>
        </w:rPr>
        <w:t>WW</w:t>
      </w:r>
      <w:r w:rsidR="001B1A5F">
        <w:rPr>
          <w:sz w:val="22"/>
          <w:szCs w:val="22"/>
          <w:lang w:val="en-US"/>
        </w:rPr>
        <w:t>PC</w:t>
      </w:r>
      <w:r w:rsidR="00147691">
        <w:rPr>
          <w:sz w:val="22"/>
          <w:szCs w:val="22"/>
          <w:lang w:val="en-US"/>
        </w:rPr>
        <w:t xml:space="preserve">     </w:t>
      </w:r>
      <w:r>
        <w:rPr>
          <w:sz w:val="22"/>
          <w:szCs w:val="22"/>
          <w:lang w:val="en-US"/>
        </w:rPr>
        <w:tab/>
        <w:t xml:space="preserve">West </w:t>
      </w:r>
      <w:proofErr w:type="spellStart"/>
      <w:r>
        <w:rPr>
          <w:sz w:val="22"/>
          <w:szCs w:val="22"/>
          <w:lang w:val="en-US"/>
        </w:rPr>
        <w:t>Wittering</w:t>
      </w:r>
      <w:proofErr w:type="spellEnd"/>
      <w:r>
        <w:rPr>
          <w:sz w:val="22"/>
          <w:szCs w:val="22"/>
          <w:lang w:val="en-US"/>
        </w:rPr>
        <w:t xml:space="preserve"> </w:t>
      </w:r>
      <w:r w:rsidR="005F5CF8">
        <w:rPr>
          <w:sz w:val="22"/>
          <w:szCs w:val="22"/>
          <w:lang w:val="en-US"/>
        </w:rPr>
        <w:t>Parish</w:t>
      </w:r>
      <w:r w:rsidR="00147691">
        <w:rPr>
          <w:sz w:val="22"/>
          <w:szCs w:val="22"/>
          <w:lang w:val="en-US"/>
        </w:rPr>
        <w:t xml:space="preserve"> Council </w:t>
      </w:r>
    </w:p>
    <w:p w:rsidR="00BA1D3D" w:rsidRPr="00E80CC8" w:rsidRDefault="00BA1D3D" w:rsidP="00E80CC8">
      <w:pPr>
        <w:pStyle w:val="BodyText"/>
        <w:rPr>
          <w:sz w:val="22"/>
          <w:szCs w:val="22"/>
          <w:lang w:val="en-US"/>
        </w:rPr>
      </w:pPr>
      <w:r w:rsidRPr="00BA1D3D">
        <w:rPr>
          <w:sz w:val="22"/>
          <w:szCs w:val="22"/>
          <w:lang w:val="en-US"/>
        </w:rPr>
        <w:t>CWSS12</w:t>
      </w:r>
      <w:r>
        <w:rPr>
          <w:sz w:val="22"/>
          <w:szCs w:val="22"/>
          <w:lang w:val="en-US"/>
        </w:rPr>
        <w:tab/>
      </w:r>
      <w:r w:rsidRPr="00BA1D3D">
        <w:rPr>
          <w:sz w:val="22"/>
          <w:szCs w:val="22"/>
          <w:lang w:val="en-US"/>
        </w:rPr>
        <w:t xml:space="preserve">Coastal West Sussex Strategic Housing Market Assessment </w:t>
      </w:r>
    </w:p>
    <w:p w:rsidR="00E80CC8" w:rsidRPr="00E80CC8" w:rsidRDefault="00E80CC8" w:rsidP="00E80CC8">
      <w:pPr>
        <w:pStyle w:val="BodyText"/>
        <w:rPr>
          <w:sz w:val="22"/>
          <w:szCs w:val="22"/>
          <w:lang w:val="en-US"/>
        </w:rPr>
      </w:pPr>
      <w:r w:rsidRPr="00E80CC8">
        <w:rPr>
          <w:sz w:val="22"/>
          <w:szCs w:val="22"/>
          <w:lang w:val="en-US"/>
        </w:rPr>
        <w:t xml:space="preserve">GT </w:t>
      </w:r>
      <w:r w:rsidRPr="00E80CC8">
        <w:rPr>
          <w:sz w:val="22"/>
          <w:szCs w:val="22"/>
          <w:lang w:val="en-US"/>
        </w:rPr>
        <w:tab/>
      </w:r>
      <w:r w:rsidR="00BA1D3D">
        <w:rPr>
          <w:sz w:val="22"/>
          <w:szCs w:val="22"/>
          <w:lang w:val="en-US"/>
        </w:rPr>
        <w:tab/>
      </w:r>
      <w:r w:rsidRPr="00E80CC8">
        <w:rPr>
          <w:sz w:val="22"/>
          <w:szCs w:val="22"/>
          <w:lang w:val="en-US"/>
        </w:rPr>
        <w:t xml:space="preserve">Gypsy &amp; </w:t>
      </w:r>
      <w:proofErr w:type="spellStart"/>
      <w:r w:rsidRPr="00E80CC8">
        <w:rPr>
          <w:sz w:val="22"/>
          <w:szCs w:val="22"/>
          <w:lang w:val="en-US"/>
        </w:rPr>
        <w:t>Traveller</w:t>
      </w:r>
      <w:proofErr w:type="spellEnd"/>
    </w:p>
    <w:p w:rsidR="00E80CC8" w:rsidRPr="00E80CC8" w:rsidRDefault="00E80CC8" w:rsidP="00E80CC8">
      <w:pPr>
        <w:pStyle w:val="BodyText"/>
        <w:rPr>
          <w:sz w:val="22"/>
          <w:szCs w:val="22"/>
          <w:lang w:val="en-US"/>
        </w:rPr>
      </w:pPr>
      <w:r w:rsidRPr="00E80CC8">
        <w:rPr>
          <w:sz w:val="22"/>
          <w:szCs w:val="22"/>
          <w:lang w:val="en-US"/>
        </w:rPr>
        <w:t xml:space="preserve">GTAA </w:t>
      </w:r>
      <w:r w:rsidRPr="00E80CC8">
        <w:rPr>
          <w:sz w:val="22"/>
          <w:szCs w:val="22"/>
          <w:lang w:val="en-US"/>
        </w:rPr>
        <w:tab/>
      </w:r>
      <w:r w:rsidR="00BA1D3D">
        <w:rPr>
          <w:sz w:val="22"/>
          <w:szCs w:val="22"/>
          <w:lang w:val="en-US"/>
        </w:rPr>
        <w:tab/>
      </w:r>
      <w:r w:rsidRPr="00E80CC8">
        <w:rPr>
          <w:sz w:val="22"/>
          <w:szCs w:val="22"/>
          <w:lang w:val="en-US"/>
        </w:rPr>
        <w:t xml:space="preserve">Gypsy and </w:t>
      </w:r>
      <w:proofErr w:type="spellStart"/>
      <w:r w:rsidRPr="00E80CC8">
        <w:rPr>
          <w:sz w:val="22"/>
          <w:szCs w:val="22"/>
          <w:lang w:val="en-US"/>
        </w:rPr>
        <w:t>Traveller</w:t>
      </w:r>
      <w:proofErr w:type="spellEnd"/>
      <w:r w:rsidRPr="00E80CC8">
        <w:rPr>
          <w:sz w:val="22"/>
          <w:szCs w:val="22"/>
          <w:lang w:val="en-US"/>
        </w:rPr>
        <w:t xml:space="preserve"> Accommodation Assessment</w:t>
      </w:r>
    </w:p>
    <w:p w:rsidR="00E80CC8" w:rsidRPr="00E80CC8" w:rsidRDefault="00E80CC8" w:rsidP="00E80CC8">
      <w:pPr>
        <w:pStyle w:val="BodyText"/>
        <w:rPr>
          <w:sz w:val="22"/>
          <w:szCs w:val="22"/>
          <w:lang w:val="en-US"/>
        </w:rPr>
      </w:pPr>
      <w:r w:rsidRPr="00E80CC8">
        <w:rPr>
          <w:sz w:val="22"/>
          <w:szCs w:val="22"/>
          <w:lang w:val="en-US"/>
        </w:rPr>
        <w:t xml:space="preserve">HNA </w:t>
      </w:r>
      <w:r w:rsidRPr="00E80CC8">
        <w:rPr>
          <w:sz w:val="22"/>
          <w:szCs w:val="22"/>
          <w:lang w:val="en-US"/>
        </w:rPr>
        <w:tab/>
      </w:r>
      <w:r w:rsidR="00BA1D3D">
        <w:rPr>
          <w:sz w:val="22"/>
          <w:szCs w:val="22"/>
          <w:lang w:val="en-US"/>
        </w:rPr>
        <w:tab/>
      </w:r>
      <w:r w:rsidRPr="00E80CC8">
        <w:rPr>
          <w:sz w:val="22"/>
          <w:szCs w:val="22"/>
          <w:lang w:val="en-US"/>
        </w:rPr>
        <w:t>Housing Needs Assessment</w:t>
      </w:r>
    </w:p>
    <w:p w:rsidR="00E80CC8" w:rsidRDefault="006F461B" w:rsidP="00E80CC8">
      <w:pPr>
        <w:pStyle w:val="BodyText"/>
        <w:rPr>
          <w:sz w:val="22"/>
          <w:szCs w:val="22"/>
          <w:lang w:val="en-US"/>
        </w:rPr>
      </w:pPr>
      <w:r>
        <w:rPr>
          <w:sz w:val="22"/>
          <w:szCs w:val="22"/>
          <w:lang w:val="en-US"/>
        </w:rPr>
        <w:t xml:space="preserve">LPA </w:t>
      </w:r>
      <w:r>
        <w:rPr>
          <w:sz w:val="22"/>
          <w:szCs w:val="22"/>
          <w:lang w:val="en-US"/>
        </w:rPr>
        <w:tab/>
      </w:r>
      <w:r w:rsidR="00BA1D3D">
        <w:rPr>
          <w:sz w:val="22"/>
          <w:szCs w:val="22"/>
          <w:lang w:val="en-US"/>
        </w:rPr>
        <w:tab/>
      </w:r>
      <w:r>
        <w:rPr>
          <w:sz w:val="22"/>
          <w:szCs w:val="22"/>
          <w:lang w:val="en-US"/>
        </w:rPr>
        <w:t>Local Planning Authority</w:t>
      </w:r>
    </w:p>
    <w:p w:rsidR="00B25544" w:rsidRPr="00E80CC8" w:rsidRDefault="00B25544" w:rsidP="00E80CC8">
      <w:pPr>
        <w:pStyle w:val="BodyText"/>
        <w:rPr>
          <w:sz w:val="22"/>
          <w:szCs w:val="22"/>
          <w:lang w:val="en-US"/>
        </w:rPr>
      </w:pPr>
      <w:r>
        <w:rPr>
          <w:sz w:val="22"/>
          <w:szCs w:val="22"/>
          <w:lang w:val="en-US"/>
        </w:rPr>
        <w:t>MHCLG</w:t>
      </w:r>
      <w:r w:rsidRPr="00E80CC8">
        <w:rPr>
          <w:sz w:val="22"/>
          <w:szCs w:val="22"/>
          <w:lang w:val="en-US"/>
        </w:rPr>
        <w:t xml:space="preserve"> </w:t>
      </w:r>
      <w:r w:rsidRPr="00E80CC8">
        <w:rPr>
          <w:sz w:val="22"/>
          <w:szCs w:val="22"/>
          <w:lang w:val="en-US"/>
        </w:rPr>
        <w:tab/>
      </w:r>
      <w:r>
        <w:rPr>
          <w:sz w:val="22"/>
          <w:szCs w:val="22"/>
          <w:lang w:val="en-US"/>
        </w:rPr>
        <w:t xml:space="preserve">Ministry for Housing, </w:t>
      </w:r>
      <w:r w:rsidRPr="00E80CC8">
        <w:rPr>
          <w:sz w:val="22"/>
          <w:szCs w:val="22"/>
          <w:lang w:val="en-US"/>
        </w:rPr>
        <w:t>Communities and Local Government</w:t>
      </w:r>
      <w:r>
        <w:rPr>
          <w:sz w:val="22"/>
          <w:szCs w:val="22"/>
          <w:lang w:val="en-US"/>
        </w:rPr>
        <w:t xml:space="preserve"> (formerly DCLG)</w:t>
      </w:r>
    </w:p>
    <w:p w:rsidR="00E80CC8" w:rsidRPr="00E80CC8" w:rsidRDefault="00E80CC8" w:rsidP="00E80CC8">
      <w:pPr>
        <w:pStyle w:val="BodyText"/>
        <w:rPr>
          <w:sz w:val="22"/>
          <w:szCs w:val="22"/>
          <w:lang w:val="en-US"/>
        </w:rPr>
      </w:pPr>
      <w:r w:rsidRPr="00E80CC8">
        <w:rPr>
          <w:sz w:val="22"/>
          <w:szCs w:val="22"/>
          <w:lang w:val="en-US"/>
        </w:rPr>
        <w:t xml:space="preserve">NDP </w:t>
      </w:r>
      <w:r w:rsidRPr="00E80CC8">
        <w:rPr>
          <w:sz w:val="22"/>
          <w:szCs w:val="22"/>
          <w:lang w:val="en-US"/>
        </w:rPr>
        <w:tab/>
      </w:r>
      <w:r w:rsidR="00BA1D3D">
        <w:rPr>
          <w:sz w:val="22"/>
          <w:szCs w:val="22"/>
          <w:lang w:val="en-US"/>
        </w:rPr>
        <w:tab/>
      </w:r>
      <w:r w:rsidRPr="00E80CC8">
        <w:rPr>
          <w:sz w:val="22"/>
          <w:szCs w:val="22"/>
          <w:lang w:val="en-US"/>
        </w:rPr>
        <w:t>Neighbourhood Development Plan</w:t>
      </w:r>
    </w:p>
    <w:p w:rsidR="00E80CC8" w:rsidRDefault="00E80CC8" w:rsidP="00E80CC8">
      <w:pPr>
        <w:pStyle w:val="BodyText"/>
        <w:rPr>
          <w:sz w:val="22"/>
          <w:szCs w:val="22"/>
          <w:lang w:val="en-US"/>
        </w:rPr>
      </w:pPr>
      <w:r w:rsidRPr="00E80CC8">
        <w:rPr>
          <w:sz w:val="22"/>
          <w:szCs w:val="22"/>
          <w:lang w:val="en-US"/>
        </w:rPr>
        <w:t xml:space="preserve">NP </w:t>
      </w:r>
      <w:r w:rsidRPr="00E80CC8">
        <w:rPr>
          <w:sz w:val="22"/>
          <w:szCs w:val="22"/>
          <w:lang w:val="en-US"/>
        </w:rPr>
        <w:tab/>
      </w:r>
      <w:r w:rsidR="00BA1D3D">
        <w:rPr>
          <w:sz w:val="22"/>
          <w:szCs w:val="22"/>
          <w:lang w:val="en-US"/>
        </w:rPr>
        <w:tab/>
      </w:r>
      <w:r w:rsidRPr="00E80CC8">
        <w:rPr>
          <w:sz w:val="22"/>
          <w:szCs w:val="22"/>
          <w:lang w:val="en-US"/>
        </w:rPr>
        <w:t>Neighbourhood Plan</w:t>
      </w:r>
    </w:p>
    <w:p w:rsidR="008A0558" w:rsidRPr="00E80CC8" w:rsidRDefault="008A0558" w:rsidP="00E80CC8">
      <w:pPr>
        <w:pStyle w:val="BodyText"/>
        <w:rPr>
          <w:sz w:val="22"/>
          <w:szCs w:val="22"/>
          <w:lang w:val="en-US"/>
        </w:rPr>
      </w:pPr>
      <w:r>
        <w:rPr>
          <w:sz w:val="22"/>
          <w:szCs w:val="22"/>
          <w:lang w:val="en-US"/>
        </w:rPr>
        <w:t xml:space="preserve">NPA     </w:t>
      </w:r>
      <w:r w:rsidR="00BA1D3D">
        <w:rPr>
          <w:sz w:val="22"/>
          <w:szCs w:val="22"/>
          <w:lang w:val="en-US"/>
        </w:rPr>
        <w:tab/>
      </w:r>
      <w:r>
        <w:rPr>
          <w:sz w:val="22"/>
          <w:szCs w:val="22"/>
          <w:lang w:val="en-US"/>
        </w:rPr>
        <w:t>Neighbourhood Plan Area</w:t>
      </w:r>
    </w:p>
    <w:p w:rsidR="00E80CC8" w:rsidRPr="00E80CC8" w:rsidRDefault="00E80CC8" w:rsidP="00E80CC8">
      <w:pPr>
        <w:pStyle w:val="BodyText"/>
        <w:rPr>
          <w:sz w:val="22"/>
          <w:szCs w:val="22"/>
          <w:lang w:val="en-US"/>
        </w:rPr>
      </w:pPr>
      <w:r w:rsidRPr="00E80CC8">
        <w:rPr>
          <w:sz w:val="22"/>
          <w:szCs w:val="22"/>
          <w:lang w:val="en-US"/>
        </w:rPr>
        <w:t xml:space="preserve">NPPF </w:t>
      </w:r>
      <w:r w:rsidRPr="00E80CC8">
        <w:rPr>
          <w:sz w:val="22"/>
          <w:szCs w:val="22"/>
          <w:lang w:val="en-US"/>
        </w:rPr>
        <w:tab/>
      </w:r>
      <w:r w:rsidR="00BA1D3D">
        <w:rPr>
          <w:sz w:val="22"/>
          <w:szCs w:val="22"/>
          <w:lang w:val="en-US"/>
        </w:rPr>
        <w:tab/>
      </w:r>
      <w:r w:rsidRPr="00E80CC8">
        <w:rPr>
          <w:sz w:val="22"/>
          <w:szCs w:val="22"/>
          <w:lang w:val="en-US"/>
        </w:rPr>
        <w:t>National Planning Policy Framework</w:t>
      </w:r>
    </w:p>
    <w:p w:rsidR="00E80CC8" w:rsidRPr="00E80CC8" w:rsidRDefault="00E80CC8" w:rsidP="00E80CC8">
      <w:pPr>
        <w:pStyle w:val="BodyText"/>
        <w:rPr>
          <w:sz w:val="22"/>
          <w:szCs w:val="22"/>
          <w:lang w:val="en-US"/>
        </w:rPr>
      </w:pPr>
      <w:r w:rsidRPr="00E80CC8">
        <w:rPr>
          <w:sz w:val="22"/>
          <w:szCs w:val="22"/>
          <w:lang w:val="en-US"/>
        </w:rPr>
        <w:t xml:space="preserve">ONS </w:t>
      </w:r>
      <w:r w:rsidRPr="00E80CC8">
        <w:rPr>
          <w:sz w:val="22"/>
          <w:szCs w:val="22"/>
          <w:lang w:val="en-US"/>
        </w:rPr>
        <w:tab/>
      </w:r>
      <w:r w:rsidR="00BA1D3D">
        <w:rPr>
          <w:sz w:val="22"/>
          <w:szCs w:val="22"/>
          <w:lang w:val="en-US"/>
        </w:rPr>
        <w:tab/>
      </w:r>
      <w:r w:rsidRPr="00E80CC8">
        <w:rPr>
          <w:sz w:val="22"/>
          <w:szCs w:val="22"/>
          <w:lang w:val="en-US"/>
        </w:rPr>
        <w:t>Office for National Statistics</w:t>
      </w:r>
    </w:p>
    <w:p w:rsidR="00E80CC8" w:rsidRPr="00E80CC8" w:rsidRDefault="00E80CC8" w:rsidP="00E80CC8">
      <w:pPr>
        <w:pStyle w:val="BodyText"/>
        <w:rPr>
          <w:sz w:val="22"/>
          <w:szCs w:val="22"/>
          <w:lang w:val="en-US"/>
        </w:rPr>
      </w:pPr>
      <w:r w:rsidRPr="00E80CC8">
        <w:rPr>
          <w:sz w:val="22"/>
          <w:szCs w:val="22"/>
          <w:lang w:val="en-US"/>
        </w:rPr>
        <w:t xml:space="preserve">PPG </w:t>
      </w:r>
      <w:r w:rsidRPr="00E80CC8">
        <w:rPr>
          <w:sz w:val="22"/>
          <w:szCs w:val="22"/>
          <w:lang w:val="en-US"/>
        </w:rPr>
        <w:tab/>
      </w:r>
      <w:r w:rsidR="00BA1D3D">
        <w:rPr>
          <w:sz w:val="22"/>
          <w:szCs w:val="22"/>
          <w:lang w:val="en-US"/>
        </w:rPr>
        <w:tab/>
      </w:r>
      <w:r w:rsidRPr="00E80CC8">
        <w:rPr>
          <w:sz w:val="22"/>
          <w:szCs w:val="22"/>
          <w:lang w:val="en-US"/>
        </w:rPr>
        <w:t>Planning Practice Guidance</w:t>
      </w:r>
    </w:p>
    <w:p w:rsidR="00E80CC8" w:rsidRPr="00E80CC8" w:rsidRDefault="00E80CC8" w:rsidP="00E80CC8">
      <w:pPr>
        <w:pStyle w:val="BodyText"/>
        <w:rPr>
          <w:sz w:val="22"/>
          <w:szCs w:val="22"/>
          <w:lang w:val="en-US"/>
        </w:rPr>
      </w:pPr>
      <w:r w:rsidRPr="00E80CC8">
        <w:rPr>
          <w:sz w:val="22"/>
          <w:szCs w:val="22"/>
          <w:lang w:val="en-US"/>
        </w:rPr>
        <w:t xml:space="preserve">PRS </w:t>
      </w:r>
      <w:r w:rsidRPr="00E80CC8">
        <w:rPr>
          <w:sz w:val="22"/>
          <w:szCs w:val="22"/>
          <w:lang w:val="en-US"/>
        </w:rPr>
        <w:tab/>
      </w:r>
      <w:r w:rsidR="00BA1D3D">
        <w:rPr>
          <w:sz w:val="22"/>
          <w:szCs w:val="22"/>
          <w:lang w:val="en-US"/>
        </w:rPr>
        <w:tab/>
      </w:r>
      <w:r w:rsidRPr="00E80CC8">
        <w:rPr>
          <w:sz w:val="22"/>
          <w:szCs w:val="22"/>
          <w:lang w:val="en-US"/>
        </w:rPr>
        <w:t>Private Rented Sector</w:t>
      </w:r>
    </w:p>
    <w:p w:rsidR="00E80CC8" w:rsidRDefault="00E80CC8" w:rsidP="00E80CC8">
      <w:pPr>
        <w:pStyle w:val="BodyText"/>
        <w:rPr>
          <w:sz w:val="22"/>
          <w:szCs w:val="22"/>
          <w:lang w:val="en-US"/>
        </w:rPr>
      </w:pPr>
      <w:r w:rsidRPr="00E80CC8">
        <w:rPr>
          <w:sz w:val="22"/>
          <w:szCs w:val="22"/>
          <w:lang w:val="en-US"/>
        </w:rPr>
        <w:t xml:space="preserve">RTF </w:t>
      </w:r>
      <w:r w:rsidRPr="00E80CC8">
        <w:rPr>
          <w:sz w:val="22"/>
          <w:szCs w:val="22"/>
          <w:lang w:val="en-US"/>
        </w:rPr>
        <w:tab/>
      </w:r>
      <w:r w:rsidR="00BA1D3D">
        <w:rPr>
          <w:sz w:val="22"/>
          <w:szCs w:val="22"/>
          <w:lang w:val="en-US"/>
        </w:rPr>
        <w:tab/>
      </w:r>
      <w:r w:rsidRPr="00E80CC8">
        <w:rPr>
          <w:sz w:val="22"/>
          <w:szCs w:val="22"/>
          <w:lang w:val="en-US"/>
        </w:rPr>
        <w:t>Rural Town and Fringe</w:t>
      </w:r>
    </w:p>
    <w:p w:rsidR="00BA1D3D" w:rsidRPr="00E80CC8" w:rsidRDefault="00BA1D3D" w:rsidP="00BA1D3D">
      <w:pPr>
        <w:pStyle w:val="BodyText"/>
        <w:ind w:left="1440" w:hanging="1440"/>
        <w:rPr>
          <w:sz w:val="22"/>
          <w:szCs w:val="22"/>
          <w:lang w:val="en-US"/>
        </w:rPr>
      </w:pPr>
      <w:r w:rsidRPr="00BA1D3D">
        <w:rPr>
          <w:sz w:val="22"/>
          <w:szCs w:val="22"/>
          <w:lang w:val="en-US"/>
        </w:rPr>
        <w:t>ROANH14</w:t>
      </w:r>
      <w:r>
        <w:rPr>
          <w:sz w:val="22"/>
          <w:szCs w:val="22"/>
          <w:lang w:val="en-US"/>
        </w:rPr>
        <w:tab/>
      </w:r>
      <w:r w:rsidRPr="00BA1D3D">
        <w:rPr>
          <w:sz w:val="22"/>
          <w:szCs w:val="22"/>
          <w:lang w:val="en-US"/>
        </w:rPr>
        <w:t>Review of Objectively Assessed Housing Need in light of 2012-based Sub</w:t>
      </w:r>
      <w:r w:rsidR="00D403D7">
        <w:rPr>
          <w:sz w:val="22"/>
          <w:szCs w:val="22"/>
          <w:lang w:val="en-US"/>
        </w:rPr>
        <w:t>-</w:t>
      </w:r>
      <w:r w:rsidRPr="00BA1D3D">
        <w:rPr>
          <w:sz w:val="22"/>
          <w:szCs w:val="22"/>
          <w:lang w:val="en-US"/>
        </w:rPr>
        <w:t xml:space="preserve">national Population Projections </w:t>
      </w:r>
    </w:p>
    <w:p w:rsidR="00E80CC8" w:rsidRPr="00E80CC8" w:rsidRDefault="008A0558" w:rsidP="00E80CC8">
      <w:pPr>
        <w:pStyle w:val="BodyText"/>
        <w:rPr>
          <w:sz w:val="22"/>
          <w:szCs w:val="22"/>
          <w:lang w:val="en-US"/>
        </w:rPr>
      </w:pPr>
      <w:r>
        <w:rPr>
          <w:sz w:val="22"/>
          <w:szCs w:val="22"/>
          <w:lang w:val="en-US"/>
        </w:rPr>
        <w:t xml:space="preserve">SHLAA </w:t>
      </w:r>
      <w:r w:rsidR="00BA1D3D">
        <w:rPr>
          <w:sz w:val="22"/>
          <w:szCs w:val="22"/>
          <w:lang w:val="en-US"/>
        </w:rPr>
        <w:tab/>
      </w:r>
      <w:r w:rsidR="00E80CC8" w:rsidRPr="00E80CC8">
        <w:rPr>
          <w:sz w:val="22"/>
          <w:szCs w:val="22"/>
          <w:lang w:val="en-US"/>
        </w:rPr>
        <w:t>Strategic Housing Land Availability Assessment</w:t>
      </w:r>
    </w:p>
    <w:p w:rsidR="00E80CC8" w:rsidRDefault="00E80CC8" w:rsidP="00E80CC8">
      <w:pPr>
        <w:pStyle w:val="BodyText"/>
        <w:rPr>
          <w:sz w:val="22"/>
          <w:szCs w:val="22"/>
          <w:lang w:val="en-US"/>
        </w:rPr>
      </w:pPr>
      <w:r w:rsidRPr="00E80CC8">
        <w:rPr>
          <w:sz w:val="22"/>
          <w:szCs w:val="22"/>
          <w:lang w:val="en-US"/>
        </w:rPr>
        <w:t xml:space="preserve">SHMA </w:t>
      </w:r>
      <w:r w:rsidRPr="00E80CC8">
        <w:rPr>
          <w:sz w:val="22"/>
          <w:szCs w:val="22"/>
          <w:lang w:val="en-US"/>
        </w:rPr>
        <w:tab/>
      </w:r>
      <w:r w:rsidR="00BA1D3D">
        <w:rPr>
          <w:sz w:val="22"/>
          <w:szCs w:val="22"/>
          <w:lang w:val="en-US"/>
        </w:rPr>
        <w:tab/>
      </w:r>
      <w:r w:rsidRPr="00E80CC8">
        <w:rPr>
          <w:sz w:val="22"/>
          <w:szCs w:val="22"/>
          <w:lang w:val="en-US"/>
        </w:rPr>
        <w:t>Strategic Housing Market Assessment</w:t>
      </w:r>
    </w:p>
    <w:p w:rsidR="008A0558" w:rsidRDefault="001B1A5F" w:rsidP="00E80CC8">
      <w:pPr>
        <w:pStyle w:val="BodyText"/>
        <w:rPr>
          <w:sz w:val="22"/>
          <w:szCs w:val="22"/>
          <w:lang w:val="en-US"/>
        </w:rPr>
      </w:pPr>
      <w:r>
        <w:rPr>
          <w:sz w:val="22"/>
          <w:szCs w:val="22"/>
          <w:lang w:val="en-US"/>
        </w:rPr>
        <w:t>D</w:t>
      </w:r>
      <w:r w:rsidR="008A0558">
        <w:rPr>
          <w:sz w:val="22"/>
          <w:szCs w:val="22"/>
          <w:lang w:val="en-US"/>
        </w:rPr>
        <w:t xml:space="preserve">CS </w:t>
      </w:r>
      <w:r w:rsidR="00BA1D3D">
        <w:rPr>
          <w:sz w:val="22"/>
          <w:szCs w:val="22"/>
          <w:lang w:val="en-US"/>
        </w:rPr>
        <w:tab/>
      </w:r>
      <w:r w:rsidR="00BA1D3D">
        <w:rPr>
          <w:sz w:val="22"/>
          <w:szCs w:val="22"/>
          <w:lang w:val="en-US"/>
        </w:rPr>
        <w:tab/>
      </w:r>
      <w:r w:rsidR="005F5CF8">
        <w:rPr>
          <w:sz w:val="22"/>
          <w:szCs w:val="22"/>
          <w:lang w:val="en-US"/>
        </w:rPr>
        <w:t>District</w:t>
      </w:r>
      <w:r w:rsidR="008A0558">
        <w:rPr>
          <w:sz w:val="22"/>
          <w:szCs w:val="22"/>
          <w:lang w:val="en-US"/>
        </w:rPr>
        <w:t xml:space="preserve"> Core Strategy </w:t>
      </w:r>
    </w:p>
    <w:p w:rsidR="00E80CC8" w:rsidRPr="00E80CC8" w:rsidRDefault="00E80CC8" w:rsidP="00E80CC8">
      <w:pPr>
        <w:pStyle w:val="BodyText"/>
        <w:rPr>
          <w:sz w:val="22"/>
          <w:szCs w:val="22"/>
          <w:lang w:val="en-US"/>
        </w:rPr>
      </w:pPr>
    </w:p>
    <w:p w:rsidR="00E80CC8" w:rsidRPr="008D11A6" w:rsidRDefault="00E80CC8" w:rsidP="00E80CC8">
      <w:pPr>
        <w:pStyle w:val="Heading1"/>
        <w:rPr>
          <w:lang w:val="en-US"/>
        </w:rPr>
      </w:pPr>
      <w:r w:rsidRPr="00E80CC8">
        <w:rPr>
          <w:lang w:val="en-US"/>
        </w:rPr>
        <w:br w:type="page"/>
      </w:r>
      <w:bookmarkStart w:id="36" w:name="_Toc327441327"/>
      <w:bookmarkStart w:id="37" w:name="_Toc461696201"/>
      <w:bookmarkStart w:id="38" w:name="_Toc504464717"/>
      <w:r w:rsidRPr="00E80CC8">
        <w:rPr>
          <w:lang w:val="en-US"/>
        </w:rPr>
        <w:lastRenderedPageBreak/>
        <w:t>Executive Summary</w:t>
      </w:r>
      <w:bookmarkEnd w:id="36"/>
      <w:bookmarkEnd w:id="37"/>
      <w:bookmarkEnd w:id="38"/>
    </w:p>
    <w:p w:rsidR="00E80CC8" w:rsidRPr="008D11A6" w:rsidRDefault="00E80CC8" w:rsidP="008D11A6">
      <w:pPr>
        <w:pStyle w:val="Caption"/>
        <w:rPr>
          <w:lang w:val="en-US"/>
        </w:rPr>
      </w:pPr>
      <w:bookmarkStart w:id="39" w:name="_Toc325115313"/>
      <w:bookmarkStart w:id="40" w:name="_Toc327441328"/>
      <w:bookmarkStart w:id="41" w:name="_Toc458606312"/>
      <w:bookmarkStart w:id="42" w:name="_Toc458606389"/>
      <w:bookmarkStart w:id="43" w:name="_Toc458606480"/>
      <w:bookmarkStart w:id="44" w:name="_Toc461696202"/>
      <w:r w:rsidRPr="008D11A6">
        <w:rPr>
          <w:lang w:val="en-US"/>
        </w:rPr>
        <w:t>Introduction</w:t>
      </w:r>
      <w:bookmarkEnd w:id="39"/>
      <w:bookmarkEnd w:id="40"/>
      <w:bookmarkEnd w:id="41"/>
      <w:bookmarkEnd w:id="42"/>
      <w:bookmarkEnd w:id="43"/>
      <w:bookmarkEnd w:id="44"/>
    </w:p>
    <w:p w:rsidR="00E80CC8" w:rsidRPr="00E80CC8" w:rsidRDefault="00E80CC8" w:rsidP="00E80CC8">
      <w:pPr>
        <w:pStyle w:val="ListNumber"/>
        <w:rPr>
          <w:lang w:val="en-US"/>
        </w:rPr>
      </w:pPr>
      <w:r w:rsidRPr="00E80CC8">
        <w:rPr>
          <w:lang w:val="en-US"/>
        </w:rPr>
        <w:t xml:space="preserve">The 2011 Localism Act introduced neighbourhood planning, allowing </w:t>
      </w:r>
      <w:r w:rsidR="005F5CF8">
        <w:rPr>
          <w:lang w:val="en-US"/>
        </w:rPr>
        <w:t>Parish</w:t>
      </w:r>
      <w:r w:rsidRPr="00E80CC8">
        <w:rPr>
          <w:lang w:val="en-US"/>
        </w:rPr>
        <w:t>es, town councils or neighbourhood forums across England to develop and adopt legally binding development plans for their neighbourhood area</w:t>
      </w:r>
      <w:r w:rsidR="00D403D7">
        <w:rPr>
          <w:lang w:val="en-US"/>
        </w:rPr>
        <w:t>s</w:t>
      </w:r>
      <w:r w:rsidRPr="00E80CC8">
        <w:rPr>
          <w:lang w:val="en-US"/>
        </w:rPr>
        <w:t>.</w:t>
      </w:r>
    </w:p>
    <w:p w:rsidR="00E80CC8" w:rsidRPr="00E80CC8" w:rsidRDefault="00E80CC8" w:rsidP="00E80CC8">
      <w:pPr>
        <w:pStyle w:val="ListNumber"/>
        <w:rPr>
          <w:lang w:val="en-US"/>
        </w:rPr>
      </w:pPr>
      <w:r w:rsidRPr="00E80CC8">
        <w:rPr>
          <w:lang w:val="en-US"/>
        </w:rPr>
        <w:t xml:space="preserve">As more and more </w:t>
      </w:r>
      <w:r w:rsidR="00F41605">
        <w:rPr>
          <w:lang w:val="en-US"/>
        </w:rPr>
        <w:t xml:space="preserve">town or </w:t>
      </w:r>
      <w:r w:rsidR="005F5CF8">
        <w:rPr>
          <w:lang w:val="en-US"/>
        </w:rPr>
        <w:t>Parish</w:t>
      </w:r>
      <w:r w:rsidR="00F41605">
        <w:rPr>
          <w:lang w:val="en-US"/>
        </w:rPr>
        <w:t xml:space="preserve"> councils and neighbourhood forums</w:t>
      </w:r>
      <w:r w:rsidRPr="00E80CC8">
        <w:rPr>
          <w:lang w:val="en-US"/>
        </w:rPr>
        <w:t xml:space="preserve"> seek to address housing growth, including tenure and type of new housing, it has become evident that </w:t>
      </w:r>
      <w:r w:rsidR="00D403D7">
        <w:rPr>
          <w:lang w:val="en-US"/>
        </w:rPr>
        <w:t>emerging</w:t>
      </w:r>
      <w:r w:rsidR="00D403D7" w:rsidRPr="00E80CC8">
        <w:rPr>
          <w:lang w:val="en-US"/>
        </w:rPr>
        <w:t xml:space="preserve"> </w:t>
      </w:r>
      <w:r w:rsidRPr="00E80CC8">
        <w:rPr>
          <w:lang w:val="en-US"/>
        </w:rPr>
        <w:t>policies need to be underpinned by robust, objectively assessed housing data.</w:t>
      </w:r>
    </w:p>
    <w:p w:rsidR="00E80CC8" w:rsidRPr="00E80CC8" w:rsidRDefault="00E80CC8" w:rsidP="00E80CC8">
      <w:pPr>
        <w:pStyle w:val="ListNumber"/>
        <w:rPr>
          <w:lang w:val="en-US"/>
        </w:rPr>
      </w:pPr>
      <w:r w:rsidRPr="00E80CC8">
        <w:rPr>
          <w:lang w:val="en-US"/>
        </w:rPr>
        <w:t xml:space="preserve">In the words of the national Planning Practice Guidance (PPG), establishing future need for housing is not an exact science, and no single approach will provide a definitive answer. The process involves making balanced judgments, as well as gathering numbers and facts. At a neighbourhood planning level, one important consideration is determining the extent to which the neighbourhood diverges from the local authority </w:t>
      </w:r>
      <w:r w:rsidR="00E12D40">
        <w:rPr>
          <w:lang w:val="en-US"/>
        </w:rPr>
        <w:t>‘</w:t>
      </w:r>
      <w:r w:rsidRPr="00E80CC8">
        <w:rPr>
          <w:lang w:val="en-US"/>
        </w:rPr>
        <w:t>average</w:t>
      </w:r>
      <w:r w:rsidR="00E12D40">
        <w:rPr>
          <w:lang w:val="en-US"/>
        </w:rPr>
        <w:t>’ in terms of housing need</w:t>
      </w:r>
      <w:r w:rsidRPr="00E80CC8">
        <w:rPr>
          <w:lang w:val="en-US"/>
        </w:rPr>
        <w:t>, reflecting the fact that a single town or neighbourhood almost never constitutes a housing market on its own and must therefore be assessed in its wider context.</w:t>
      </w:r>
    </w:p>
    <w:p w:rsidR="00E80CC8" w:rsidRPr="00E80CC8" w:rsidRDefault="00E80CC8" w:rsidP="00E80CC8">
      <w:pPr>
        <w:pStyle w:val="ListNumber"/>
        <w:rPr>
          <w:lang w:val="en-US"/>
        </w:rPr>
      </w:pPr>
      <w:r w:rsidRPr="00E80CC8">
        <w:rPr>
          <w:lang w:val="en-US"/>
        </w:rPr>
        <w:t xml:space="preserve">The guidance quoted above on housing needs assessment is primarily aimed at local planning authorities preparing Strategic Housing Market Assessments (SHMAs), which are used to determine housing need at a </w:t>
      </w:r>
      <w:r w:rsidR="00E12D40">
        <w:rPr>
          <w:lang w:val="en-US"/>
        </w:rPr>
        <w:t>housing market area</w:t>
      </w:r>
      <w:r w:rsidRPr="00E80CC8">
        <w:rPr>
          <w:lang w:val="en-US"/>
        </w:rPr>
        <w:t xml:space="preserve"> level. However, it helpfully states that those preparing neighbourhood plans can use the guidance to identify specific local needs that may be relevant to a neighbourhood, but that any assessment at such a local level should be proportionate.</w:t>
      </w:r>
    </w:p>
    <w:p w:rsidR="00E80CC8" w:rsidRDefault="00E80CC8" w:rsidP="00E80CC8">
      <w:pPr>
        <w:pStyle w:val="ListNumber"/>
        <w:rPr>
          <w:lang w:val="en-US"/>
        </w:rPr>
      </w:pPr>
      <w:r w:rsidRPr="00E80CC8">
        <w:rPr>
          <w:lang w:val="en-US"/>
        </w:rPr>
        <w:t>Our brief was to advise on data at this m</w:t>
      </w:r>
      <w:r w:rsidR="00A21788">
        <w:rPr>
          <w:lang w:val="en-US"/>
        </w:rPr>
        <w:t xml:space="preserve">ore local level to help </w:t>
      </w:r>
      <w:r w:rsidR="008D58F1">
        <w:rPr>
          <w:lang w:val="en-US"/>
        </w:rPr>
        <w:t xml:space="preserve">West </w:t>
      </w:r>
      <w:proofErr w:type="spellStart"/>
      <w:r w:rsidR="008D58F1">
        <w:rPr>
          <w:lang w:val="en-US"/>
        </w:rPr>
        <w:t>Wittering</w:t>
      </w:r>
      <w:proofErr w:type="spellEnd"/>
      <w:r w:rsidR="008D58F1">
        <w:rPr>
          <w:lang w:val="en-US"/>
        </w:rPr>
        <w:t xml:space="preserve"> </w:t>
      </w:r>
      <w:r w:rsidR="005F5CF8">
        <w:rPr>
          <w:lang w:val="en-US"/>
        </w:rPr>
        <w:t>Parish</w:t>
      </w:r>
      <w:r w:rsidR="008A0558">
        <w:rPr>
          <w:lang w:val="en-US"/>
        </w:rPr>
        <w:t xml:space="preserve"> </w:t>
      </w:r>
      <w:r w:rsidRPr="00E80CC8">
        <w:rPr>
          <w:lang w:val="en-US"/>
        </w:rPr>
        <w:t xml:space="preserve">Council </w:t>
      </w:r>
      <w:r w:rsidR="00B50BCE">
        <w:rPr>
          <w:lang w:val="en-US"/>
        </w:rPr>
        <w:t xml:space="preserve">(WWPC) </w:t>
      </w:r>
      <w:r w:rsidRPr="00E80CC8">
        <w:rPr>
          <w:lang w:val="en-US"/>
        </w:rPr>
        <w:t xml:space="preserve">understand, among other matters, the type, tenure and quantity of housing needed </w:t>
      </w:r>
      <w:r w:rsidR="00E12D40">
        <w:rPr>
          <w:lang w:val="en-US"/>
        </w:rPr>
        <w:t xml:space="preserve">in their area </w:t>
      </w:r>
      <w:r w:rsidRPr="00E80CC8">
        <w:rPr>
          <w:lang w:val="en-US"/>
        </w:rPr>
        <w:t xml:space="preserve">to inform </w:t>
      </w:r>
      <w:r w:rsidR="00E12D40">
        <w:rPr>
          <w:lang w:val="en-US"/>
        </w:rPr>
        <w:t xml:space="preserve">the development of evidence-based </w:t>
      </w:r>
      <w:r w:rsidRPr="00E80CC8">
        <w:rPr>
          <w:lang w:val="en-US"/>
        </w:rPr>
        <w:t>neighbourhood plan policies.</w:t>
      </w:r>
    </w:p>
    <w:p w:rsidR="008D11A6" w:rsidRPr="00E80CC8" w:rsidRDefault="008D11A6" w:rsidP="008D11A6">
      <w:pPr>
        <w:pStyle w:val="ListNumber"/>
        <w:numPr>
          <w:ilvl w:val="0"/>
          <w:numId w:val="0"/>
        </w:numPr>
        <w:ind w:left="425"/>
        <w:rPr>
          <w:lang w:val="en-US"/>
        </w:rPr>
      </w:pPr>
    </w:p>
    <w:p w:rsidR="00E80CC8" w:rsidRPr="00E80CC8" w:rsidRDefault="00E80CC8" w:rsidP="008D11A6">
      <w:pPr>
        <w:pStyle w:val="Caption"/>
        <w:rPr>
          <w:lang w:val="en-US"/>
        </w:rPr>
      </w:pPr>
      <w:bookmarkStart w:id="45" w:name="_Toc458606313"/>
      <w:bookmarkStart w:id="46" w:name="_Toc458606390"/>
      <w:bookmarkStart w:id="47" w:name="_Toc458606481"/>
      <w:bookmarkStart w:id="48" w:name="_Toc461696203"/>
      <w:r w:rsidRPr="00E80CC8">
        <w:rPr>
          <w:lang w:val="en-US"/>
        </w:rPr>
        <w:t>PPG-</w:t>
      </w:r>
      <w:r w:rsidR="00E12D40">
        <w:rPr>
          <w:lang w:val="en-US"/>
        </w:rPr>
        <w:t>b</w:t>
      </w:r>
      <w:r w:rsidRPr="00E80CC8">
        <w:rPr>
          <w:lang w:val="en-US"/>
        </w:rPr>
        <w:t xml:space="preserve">ased </w:t>
      </w:r>
      <w:r w:rsidR="00E12D40">
        <w:rPr>
          <w:lang w:val="en-US"/>
        </w:rPr>
        <w:t>a</w:t>
      </w:r>
      <w:r w:rsidRPr="00E80CC8">
        <w:rPr>
          <w:lang w:val="en-US"/>
        </w:rPr>
        <w:t>ssessment</w:t>
      </w:r>
      <w:bookmarkEnd w:id="45"/>
      <w:bookmarkEnd w:id="46"/>
      <w:bookmarkEnd w:id="47"/>
      <w:bookmarkEnd w:id="48"/>
    </w:p>
    <w:p w:rsidR="00E80CC8" w:rsidRPr="008D11A6" w:rsidRDefault="00E80CC8" w:rsidP="00E80CC8">
      <w:pPr>
        <w:pStyle w:val="ListNumber"/>
      </w:pPr>
      <w:r w:rsidRPr="00E80CC8">
        <w:t>This objective and independent housing needs advice note follows the PPG approach where relevant. This ensures our findings are appropriately evidenced. The PPG advises that assessment of development needs should be thorough but proportionate and does not require planners to consider purely hypothetical future scenarios, only future scenarios that could be reasonably expected</w:t>
      </w:r>
      <w:r w:rsidRPr="008D11A6">
        <w:t xml:space="preserve"> to occur.</w:t>
      </w:r>
    </w:p>
    <w:p w:rsidR="008D11A6" w:rsidRPr="00E80CC8" w:rsidRDefault="008D11A6" w:rsidP="008D11A6">
      <w:pPr>
        <w:pStyle w:val="ListNumber"/>
        <w:numPr>
          <w:ilvl w:val="0"/>
          <w:numId w:val="0"/>
        </w:numPr>
        <w:ind w:left="425"/>
        <w:rPr>
          <w:bCs/>
          <w:iCs/>
          <w:sz w:val="22"/>
          <w:szCs w:val="22"/>
          <w:lang w:val="en-US"/>
        </w:rPr>
      </w:pPr>
    </w:p>
    <w:p w:rsidR="00E80CC8" w:rsidRPr="008D11A6" w:rsidRDefault="00E80CC8" w:rsidP="008D11A6">
      <w:pPr>
        <w:pStyle w:val="Caption"/>
        <w:rPr>
          <w:lang w:val="en-US"/>
        </w:rPr>
      </w:pPr>
      <w:bookmarkStart w:id="49" w:name="_Toc458606314"/>
      <w:bookmarkStart w:id="50" w:name="_Toc458606391"/>
      <w:bookmarkStart w:id="51" w:name="_Toc458606482"/>
      <w:bookmarkStart w:id="52" w:name="_Toc461696204"/>
      <w:r w:rsidRPr="008D11A6">
        <w:rPr>
          <w:lang w:val="en-US"/>
        </w:rPr>
        <w:t>Summary of Methodology</w:t>
      </w:r>
      <w:bookmarkEnd w:id="49"/>
      <w:bookmarkEnd w:id="50"/>
      <w:bookmarkEnd w:id="51"/>
      <w:bookmarkEnd w:id="52"/>
    </w:p>
    <w:p w:rsidR="00E80CC8" w:rsidRPr="00E80CC8" w:rsidRDefault="00E80CC8" w:rsidP="00E80CC8">
      <w:pPr>
        <w:pStyle w:val="ListNumber"/>
        <w:rPr>
          <w:lang w:val="en-US"/>
        </w:rPr>
      </w:pPr>
      <w:r w:rsidRPr="00E80CC8">
        <w:rPr>
          <w:lang w:val="en-US"/>
        </w:rPr>
        <w:t xml:space="preserve">Housing Needs Assessment at neighbourhood plan level can be focused either on quantity of housing needed, type of housing need, or both. In most cases, there is a need to focus on quantity where the housing target for the </w:t>
      </w:r>
      <w:r w:rsidR="000375DA">
        <w:rPr>
          <w:lang w:val="en-US"/>
        </w:rPr>
        <w:t xml:space="preserve">area </w:t>
      </w:r>
      <w:r w:rsidRPr="00E80CC8">
        <w:rPr>
          <w:lang w:val="en-US"/>
        </w:rPr>
        <w:t>being assessed is unclear, for example where the local authority has not set a specific target for the settlement, or where there is no local plan in place.</w:t>
      </w:r>
    </w:p>
    <w:p w:rsidR="00E80CC8" w:rsidRDefault="00E80CC8" w:rsidP="00E80CC8">
      <w:pPr>
        <w:pStyle w:val="ListNumber"/>
        <w:rPr>
          <w:lang w:val="en-US"/>
        </w:rPr>
      </w:pPr>
      <w:r w:rsidRPr="00E858D8">
        <w:rPr>
          <w:lang w:val="en-US"/>
        </w:rPr>
        <w:t xml:space="preserve">In the case of </w:t>
      </w:r>
      <w:r w:rsidR="00B50BCE">
        <w:rPr>
          <w:lang w:val="en-US"/>
        </w:rPr>
        <w:t>WWPC</w:t>
      </w:r>
      <w:r w:rsidRPr="00E858D8">
        <w:rPr>
          <w:lang w:val="en-US"/>
        </w:rPr>
        <w:t xml:space="preserve">, the current adopted Development Plan, the </w:t>
      </w:r>
      <w:proofErr w:type="spellStart"/>
      <w:r w:rsidR="008D58F1">
        <w:rPr>
          <w:lang w:val="en-US"/>
        </w:rPr>
        <w:t>Chichester</w:t>
      </w:r>
      <w:proofErr w:type="spellEnd"/>
      <w:r w:rsidR="008D58F1">
        <w:rPr>
          <w:lang w:val="en-US"/>
        </w:rPr>
        <w:t xml:space="preserve"> Local Plan (C</w:t>
      </w:r>
      <w:r w:rsidRPr="00E858D8">
        <w:rPr>
          <w:lang w:val="en-US"/>
        </w:rPr>
        <w:t xml:space="preserve">LP), identifies a target of </w:t>
      </w:r>
      <w:r w:rsidR="008D58F1">
        <w:rPr>
          <w:lang w:val="en-US"/>
        </w:rPr>
        <w:t>50</w:t>
      </w:r>
      <w:r w:rsidRPr="00E858D8">
        <w:rPr>
          <w:lang w:val="en-US"/>
        </w:rPr>
        <w:t xml:space="preserve"> dwellings for the </w:t>
      </w:r>
      <w:r w:rsidR="005F5CF8">
        <w:rPr>
          <w:lang w:val="en-US"/>
        </w:rPr>
        <w:t>Parish</w:t>
      </w:r>
      <w:r w:rsidR="008D58F1">
        <w:rPr>
          <w:lang w:val="en-US"/>
        </w:rPr>
        <w:t xml:space="preserve"> to be delivered over the </w:t>
      </w:r>
      <w:r w:rsidR="000375DA">
        <w:rPr>
          <w:lang w:val="en-US"/>
        </w:rPr>
        <w:t>Plan period</w:t>
      </w:r>
      <w:r w:rsidR="008D58F1">
        <w:rPr>
          <w:lang w:val="en-US"/>
        </w:rPr>
        <w:t xml:space="preserve"> of 2012-2029</w:t>
      </w:r>
      <w:r w:rsidR="00D6575C">
        <w:rPr>
          <w:lang w:val="en-US"/>
        </w:rPr>
        <w:t>.</w:t>
      </w:r>
      <w:r w:rsidR="008D58F1">
        <w:rPr>
          <w:rStyle w:val="FootnoteReference"/>
          <w:lang w:val="en-US"/>
        </w:rPr>
        <w:footnoteReference w:id="1"/>
      </w:r>
      <w:r w:rsidRPr="00E858D8">
        <w:rPr>
          <w:lang w:val="en-US"/>
        </w:rPr>
        <w:t xml:space="preserve"> As a plan that post-dates the National Planning Policy Framework, this should be used as a </w:t>
      </w:r>
      <w:r w:rsidR="00D6575C">
        <w:rPr>
          <w:lang w:val="en-US"/>
        </w:rPr>
        <w:t xml:space="preserve">firm </w:t>
      </w:r>
      <w:r w:rsidRPr="00E858D8">
        <w:rPr>
          <w:lang w:val="en-US"/>
        </w:rPr>
        <w:t>guid</w:t>
      </w:r>
      <w:r w:rsidR="00D6575C">
        <w:rPr>
          <w:lang w:val="en-US"/>
        </w:rPr>
        <w:t>e</w:t>
      </w:r>
      <w:r w:rsidRPr="00E858D8">
        <w:rPr>
          <w:lang w:val="en-US"/>
        </w:rPr>
        <w:t xml:space="preserve"> on housing numbers. </w:t>
      </w:r>
    </w:p>
    <w:p w:rsidR="008D58F1" w:rsidRPr="00E858D8" w:rsidRDefault="008D58F1" w:rsidP="008D58F1">
      <w:pPr>
        <w:pStyle w:val="ListNumber"/>
        <w:rPr>
          <w:lang w:val="en-US"/>
        </w:rPr>
      </w:pPr>
      <w:r>
        <w:rPr>
          <w:lang w:val="en-US"/>
        </w:rPr>
        <w:t xml:space="preserve">However, </w:t>
      </w:r>
      <w:proofErr w:type="spellStart"/>
      <w:r>
        <w:rPr>
          <w:lang w:val="en-US"/>
        </w:rPr>
        <w:t>Chichester</w:t>
      </w:r>
      <w:proofErr w:type="spellEnd"/>
      <w:r>
        <w:rPr>
          <w:lang w:val="en-US"/>
        </w:rPr>
        <w:t xml:space="preserve"> </w:t>
      </w:r>
      <w:r w:rsidR="005F5CF8">
        <w:rPr>
          <w:lang w:val="en-US"/>
        </w:rPr>
        <w:t>District</w:t>
      </w:r>
      <w:r>
        <w:rPr>
          <w:lang w:val="en-US"/>
        </w:rPr>
        <w:t xml:space="preserve"> Council (CDC) is in the process of developing a new local plan and, while they are </w:t>
      </w:r>
      <w:r w:rsidR="00D6575C">
        <w:rPr>
          <w:lang w:val="en-US"/>
        </w:rPr>
        <w:t>committed</w:t>
      </w:r>
      <w:r>
        <w:rPr>
          <w:lang w:val="en-US"/>
        </w:rPr>
        <w:t xml:space="preserve"> to providing the </w:t>
      </w:r>
      <w:r w:rsidR="005F5CF8">
        <w:rPr>
          <w:lang w:val="en-US"/>
        </w:rPr>
        <w:t>Parish</w:t>
      </w:r>
      <w:r>
        <w:rPr>
          <w:lang w:val="en-US"/>
        </w:rPr>
        <w:t xml:space="preserve"> with </w:t>
      </w:r>
      <w:proofErr w:type="gramStart"/>
      <w:r>
        <w:rPr>
          <w:lang w:val="en-US"/>
        </w:rPr>
        <w:t>a housing</w:t>
      </w:r>
      <w:proofErr w:type="gramEnd"/>
      <w:r>
        <w:rPr>
          <w:lang w:val="en-US"/>
        </w:rPr>
        <w:t xml:space="preserve"> needs figure, this has not yet been communicated. As such, </w:t>
      </w:r>
      <w:r w:rsidRPr="008D58F1">
        <w:rPr>
          <w:lang w:val="en-US"/>
        </w:rPr>
        <w:t>WWPC wishes to generate their own assessment to ensure the final number used to support policies in their plan provides adequately for the future needs of the community, particularly in relation to the provision of dwellings suited to the needs of young people and families from the area to wish to continue to live there.</w:t>
      </w:r>
    </w:p>
    <w:p w:rsidR="00E80CC8" w:rsidRPr="00B50BCE" w:rsidRDefault="00B50BCE" w:rsidP="00B50BCE">
      <w:pPr>
        <w:pStyle w:val="ListNumber"/>
        <w:rPr>
          <w:lang w:val="en-US"/>
        </w:rPr>
      </w:pPr>
      <w:r>
        <w:rPr>
          <w:lang w:val="en-US"/>
        </w:rPr>
        <w:t>In arriving at the final number</w:t>
      </w:r>
      <w:r w:rsidR="00DA3E48">
        <w:rPr>
          <w:lang w:val="en-US"/>
        </w:rPr>
        <w:t>,</w:t>
      </w:r>
      <w:r>
        <w:rPr>
          <w:lang w:val="en-US"/>
        </w:rPr>
        <w:t xml:space="preserve"> it is important to note that</w:t>
      </w:r>
      <w:r w:rsidR="00E80CC8" w:rsidRPr="00E80CC8">
        <w:rPr>
          <w:lang w:val="en-US"/>
        </w:rPr>
        <w:t xml:space="preserve"> neighbourhood plans need to </w:t>
      </w:r>
      <w:r w:rsidR="0029198A">
        <w:rPr>
          <w:lang w:val="en-US"/>
        </w:rPr>
        <w:t>meet</w:t>
      </w:r>
      <w:r w:rsidR="00E80CC8" w:rsidRPr="00E80CC8">
        <w:rPr>
          <w:lang w:val="en-US"/>
        </w:rPr>
        <w:t xml:space="preserve"> a number of Basic Conditions </w:t>
      </w:r>
      <w:r w:rsidR="0029198A">
        <w:rPr>
          <w:szCs w:val="24"/>
          <w:lang w:val="en-US"/>
        </w:rPr>
        <w:t>(tested through independent examination)</w:t>
      </w:r>
      <w:r w:rsidR="0029198A" w:rsidRPr="000B75FC">
        <w:rPr>
          <w:szCs w:val="24"/>
          <w:lang w:val="en-US"/>
        </w:rPr>
        <w:t xml:space="preserve"> </w:t>
      </w:r>
      <w:r w:rsidR="00DA3E48">
        <w:rPr>
          <w:szCs w:val="24"/>
          <w:lang w:val="en-US"/>
        </w:rPr>
        <w:t xml:space="preserve">in order </w:t>
      </w:r>
      <w:r w:rsidR="00E80CC8" w:rsidRPr="00E80CC8">
        <w:rPr>
          <w:lang w:val="en-US"/>
        </w:rPr>
        <w:t>to be ‘made’ by the LPA. One of these, Basic Condition E, requires the Neighbourhood Plan to be in ‘general conformity with the strategic policies’ of the Local Plan</w:t>
      </w:r>
      <w:r w:rsidR="00DA3E48">
        <w:rPr>
          <w:lang w:val="en-US"/>
        </w:rPr>
        <w:t xml:space="preserve">.  In </w:t>
      </w:r>
      <w:r w:rsidR="00E80CC8" w:rsidRPr="00E80CC8">
        <w:rPr>
          <w:lang w:val="en-US"/>
        </w:rPr>
        <w:t>this case</w:t>
      </w:r>
      <w:r w:rsidR="00DA3E48">
        <w:rPr>
          <w:lang w:val="en-US"/>
        </w:rPr>
        <w:t>, this equates to</w:t>
      </w:r>
      <w:r w:rsidR="00E80CC8" w:rsidRPr="00E80CC8">
        <w:rPr>
          <w:lang w:val="en-US"/>
        </w:rPr>
        <w:t xml:space="preserve"> the </w:t>
      </w:r>
      <w:r>
        <w:t xml:space="preserve">CLP and the emerging Local Plan once it has been adopted by the CDC (moreover, it is important </w:t>
      </w:r>
      <w:r w:rsidR="00DA3E48">
        <w:t xml:space="preserve">that </w:t>
      </w:r>
      <w:r>
        <w:t xml:space="preserve">WWPC is mindful of the direction of travel of the emerging Local Plan both to influence this document </w:t>
      </w:r>
      <w:r>
        <w:lastRenderedPageBreak/>
        <w:t>and</w:t>
      </w:r>
      <w:r w:rsidR="00DA3E48">
        <w:t>,</w:t>
      </w:r>
      <w:r>
        <w:t xml:space="preserve"> given that, once adopted, the neighbourhood plan policies will need to satisfy Condition E</w:t>
      </w:r>
      <w:r w:rsidR="00DA3E48">
        <w:t>)</w:t>
      </w:r>
      <w:r>
        <w:t xml:space="preserve">. </w:t>
      </w:r>
      <w:r w:rsidRPr="00B50BCE">
        <w:rPr>
          <w:lang w:val="en-US"/>
        </w:rPr>
        <w:t>The</w:t>
      </w:r>
      <w:r w:rsidR="00DA3E48">
        <w:rPr>
          <w:lang w:val="en-US"/>
        </w:rPr>
        <w:t xml:space="preserve"> PPG</w:t>
      </w:r>
      <w:r w:rsidRPr="00B50BCE">
        <w:rPr>
          <w:lang w:val="en-US"/>
        </w:rPr>
        <w:t xml:space="preserve"> indicates that the level of housing development is likely to count as a strategic policy.</w:t>
      </w:r>
      <w:r w:rsidRPr="00E80CC8">
        <w:rPr>
          <w:vertAlign w:val="superscript"/>
          <w:lang w:val="en-US"/>
        </w:rPr>
        <w:footnoteReference w:id="2"/>
      </w:r>
    </w:p>
    <w:p w:rsidR="00E80CC8" w:rsidRPr="00E80CC8" w:rsidRDefault="00E80CC8" w:rsidP="00E80CC8">
      <w:pPr>
        <w:pStyle w:val="ListNumber"/>
        <w:rPr>
          <w:lang w:val="en-US"/>
        </w:rPr>
      </w:pPr>
      <w:r w:rsidRPr="00E80CC8">
        <w:rPr>
          <w:lang w:val="en-US"/>
        </w:rPr>
        <w:t xml:space="preserve">In terms of the types of housing needed, there is generally more flexibility on what neighbourhood plans can </w:t>
      </w:r>
      <w:r w:rsidR="008D1D1E">
        <w:rPr>
          <w:lang w:val="en-US"/>
        </w:rPr>
        <w:t>include</w:t>
      </w:r>
      <w:r w:rsidRPr="00E80CC8">
        <w:rPr>
          <w:lang w:val="en-US"/>
        </w:rPr>
        <w:t xml:space="preserve">. In order to understand the types of housing needed in </w:t>
      </w:r>
      <w:r w:rsidR="00B50BCE">
        <w:rPr>
          <w:lang w:val="en-US"/>
        </w:rPr>
        <w:t>WWPC</w:t>
      </w:r>
      <w:r w:rsidRPr="00E80CC8">
        <w:rPr>
          <w:lang w:val="en-US"/>
        </w:rPr>
        <w:t>, we have gathered a wide range of local evidence and summarised it into policy recommendations designed to inform decisions on housing quantity and characteristics.</w:t>
      </w:r>
    </w:p>
    <w:p w:rsidR="00E80CC8" w:rsidRPr="000A1903" w:rsidRDefault="00B50BCE" w:rsidP="00E80CC8">
      <w:pPr>
        <w:pStyle w:val="ListNumber"/>
        <w:rPr>
          <w:color w:val="000000" w:themeColor="text1"/>
          <w:lang w:val="en-US"/>
        </w:rPr>
      </w:pPr>
      <w:r>
        <w:rPr>
          <w:lang w:val="en-US"/>
        </w:rPr>
        <w:t>It is also important to arrive at a</w:t>
      </w:r>
      <w:r w:rsidR="001269E7">
        <w:rPr>
          <w:lang w:val="en-US"/>
        </w:rPr>
        <w:t>n appropriate</w:t>
      </w:r>
      <w:r>
        <w:rPr>
          <w:lang w:val="en-US"/>
        </w:rPr>
        <w:t xml:space="preserve"> Plan period for the neighbourhood plan so as to be able to gather data and carry out calculations that are critical to this HNA. We have been advised by WWPC of a Plan period of </w:t>
      </w:r>
      <w:r w:rsidR="00065DBF">
        <w:rPr>
          <w:lang w:val="en-US"/>
        </w:rPr>
        <w:t xml:space="preserve">fifteen years, with a </w:t>
      </w:r>
      <w:r w:rsidR="00065DBF" w:rsidRPr="000A1903">
        <w:rPr>
          <w:color w:val="000000" w:themeColor="text1"/>
          <w:lang w:val="en-US"/>
        </w:rPr>
        <w:t xml:space="preserve">base year of 2018. The </w:t>
      </w:r>
      <w:proofErr w:type="spellStart"/>
      <w:r w:rsidR="001269E7">
        <w:rPr>
          <w:color w:val="000000" w:themeColor="text1"/>
          <w:lang w:val="en-US"/>
        </w:rPr>
        <w:t>p</w:t>
      </w:r>
      <w:r w:rsidR="000375DA">
        <w:rPr>
          <w:color w:val="000000" w:themeColor="text1"/>
          <w:lang w:val="en-US"/>
        </w:rPr>
        <w:t>Plan</w:t>
      </w:r>
      <w:proofErr w:type="spellEnd"/>
      <w:r w:rsidR="000375DA">
        <w:rPr>
          <w:color w:val="000000" w:themeColor="text1"/>
          <w:lang w:val="en-US"/>
        </w:rPr>
        <w:t xml:space="preserve"> period</w:t>
      </w:r>
      <w:r w:rsidR="00065DBF" w:rsidRPr="000A1903">
        <w:rPr>
          <w:color w:val="000000" w:themeColor="text1"/>
          <w:lang w:val="en-US"/>
        </w:rPr>
        <w:t xml:space="preserve"> we have used for the purposes of this HNA is therefore</w:t>
      </w:r>
      <w:r w:rsidRPr="000A1903">
        <w:rPr>
          <w:color w:val="000000" w:themeColor="text1"/>
          <w:lang w:val="en-US"/>
        </w:rPr>
        <w:t xml:space="preserve"> 2018-2033. </w:t>
      </w:r>
    </w:p>
    <w:p w:rsidR="000A1903" w:rsidRPr="000A1903" w:rsidRDefault="000A1903" w:rsidP="000A1903">
      <w:pPr>
        <w:pStyle w:val="ListNumber"/>
        <w:rPr>
          <w:color w:val="000000" w:themeColor="text1"/>
        </w:rPr>
      </w:pPr>
      <w:r w:rsidRPr="000A1903">
        <w:rPr>
          <w:color w:val="000000" w:themeColor="text1"/>
          <w:lang w:val="en-US"/>
        </w:rPr>
        <w:t xml:space="preserve">In order to understand the types of housing needed in West </w:t>
      </w:r>
      <w:proofErr w:type="spellStart"/>
      <w:r w:rsidRPr="000A1903">
        <w:rPr>
          <w:color w:val="000000" w:themeColor="text1"/>
          <w:lang w:val="en-US"/>
        </w:rPr>
        <w:t>Wittering</w:t>
      </w:r>
      <w:proofErr w:type="spellEnd"/>
      <w:r w:rsidR="001269E7">
        <w:rPr>
          <w:color w:val="000000" w:themeColor="text1"/>
          <w:lang w:val="en-US"/>
        </w:rPr>
        <w:t>,</w:t>
      </w:r>
      <w:r w:rsidRPr="000A1903">
        <w:rPr>
          <w:color w:val="000000" w:themeColor="text1"/>
          <w:lang w:val="en-US"/>
        </w:rPr>
        <w:t xml:space="preserve"> we have gathered a wide range of local evidence </w:t>
      </w:r>
      <w:proofErr w:type="gramStart"/>
      <w:r w:rsidRPr="000A1903">
        <w:rPr>
          <w:color w:val="000000" w:themeColor="text1"/>
          <w:lang w:val="en-US"/>
        </w:rPr>
        <w:t xml:space="preserve">and </w:t>
      </w:r>
      <w:r w:rsidR="001269E7">
        <w:rPr>
          <w:color w:val="000000" w:themeColor="text1"/>
          <w:lang w:val="en-US"/>
        </w:rPr>
        <w:t xml:space="preserve"> distilled</w:t>
      </w:r>
      <w:proofErr w:type="gramEnd"/>
      <w:r w:rsidR="001269E7">
        <w:rPr>
          <w:color w:val="000000" w:themeColor="text1"/>
          <w:lang w:val="en-US"/>
        </w:rPr>
        <w:t xml:space="preserve"> this </w:t>
      </w:r>
      <w:r w:rsidRPr="000A1903">
        <w:rPr>
          <w:color w:val="000000" w:themeColor="text1"/>
          <w:lang w:val="en-US"/>
        </w:rPr>
        <w:t xml:space="preserve">into </w:t>
      </w:r>
      <w:r w:rsidR="001269E7">
        <w:rPr>
          <w:color w:val="000000" w:themeColor="text1"/>
          <w:lang w:val="en-US"/>
        </w:rPr>
        <w:t xml:space="preserve">a series of </w:t>
      </w:r>
      <w:r w:rsidRPr="000A1903">
        <w:rPr>
          <w:color w:val="000000" w:themeColor="text1"/>
          <w:lang w:val="en-US"/>
        </w:rPr>
        <w:t xml:space="preserve">policy recommendations designed to inform decisions on housing characteristics. </w:t>
      </w:r>
    </w:p>
    <w:p w:rsidR="000A1903" w:rsidRPr="00E80CC8" w:rsidRDefault="000A1903" w:rsidP="000A1903">
      <w:pPr>
        <w:pStyle w:val="ListNumber"/>
        <w:rPr>
          <w:lang w:val="en-US"/>
        </w:rPr>
      </w:pPr>
      <w:r w:rsidRPr="00E80CC8">
        <w:rPr>
          <w:lang w:val="en-US"/>
        </w:rPr>
        <w:t>Our approach is to provide advice on the housing required based on need and/or demand rather than supply. This is in line with the PPG, which states that ‘</w:t>
      </w:r>
      <w:r w:rsidRPr="00E80CC8">
        <w:rPr>
          <w:i/>
          <w:lang w:val="en-US"/>
        </w:rPr>
        <w:t>the assessment of development needs should be an objective assessment of need based on facts and unbiased evidence. Plan makers should not apply constraints to the overall assessment of need, such as limitations imposed by the supply of land for new development, historic under performance, viability, infrastructure or environmental constraints</w:t>
      </w:r>
      <w:r w:rsidRPr="00E80CC8">
        <w:rPr>
          <w:lang w:val="en-US"/>
        </w:rPr>
        <w:t>.’</w:t>
      </w:r>
      <w:r>
        <w:rPr>
          <w:rStyle w:val="FootnoteReference"/>
          <w:lang w:val="en-US"/>
        </w:rPr>
        <w:footnoteReference w:id="3"/>
      </w:r>
    </w:p>
    <w:p w:rsidR="000A1903" w:rsidRPr="00853CC9" w:rsidRDefault="000A1903" w:rsidP="000A1903">
      <w:pPr>
        <w:pStyle w:val="ListNumber"/>
        <w:rPr>
          <w:lang w:val="en-US"/>
        </w:rPr>
      </w:pPr>
      <w:r w:rsidRPr="00E80CC8">
        <w:rPr>
          <w:lang w:val="en-US"/>
        </w:rPr>
        <w:t xml:space="preserve">For this reason, we advise that the conclusions of this report should be assessed against supply-side considerations (including, for example, factors such as transport infrastructure, landscape constraints, flood risk and so on) as a separate and follow-on </w:t>
      </w:r>
      <w:r>
        <w:rPr>
          <w:lang w:val="en-US"/>
        </w:rPr>
        <w:t>exercise</w:t>
      </w:r>
      <w:r w:rsidR="008F1C1B">
        <w:rPr>
          <w:lang w:val="en-US"/>
        </w:rPr>
        <w:t>.</w:t>
      </w:r>
      <w:r w:rsidRPr="00E80CC8">
        <w:rPr>
          <w:vertAlign w:val="superscript"/>
          <w:lang w:val="en-US"/>
        </w:rPr>
        <w:footnoteReference w:id="4"/>
      </w:r>
    </w:p>
    <w:p w:rsidR="008D11A6" w:rsidRPr="00E80CC8" w:rsidRDefault="008D11A6" w:rsidP="008D11A6">
      <w:pPr>
        <w:pStyle w:val="ListNumber"/>
        <w:numPr>
          <w:ilvl w:val="0"/>
          <w:numId w:val="0"/>
        </w:numPr>
        <w:ind w:left="425"/>
        <w:rPr>
          <w:lang w:val="en-US"/>
        </w:rPr>
      </w:pPr>
    </w:p>
    <w:p w:rsidR="00E80CC8" w:rsidRPr="00E80CC8" w:rsidRDefault="00E80CC8" w:rsidP="008D11A6">
      <w:pPr>
        <w:pStyle w:val="Caption"/>
        <w:rPr>
          <w:lang w:val="en-US"/>
        </w:rPr>
      </w:pPr>
      <w:bookmarkStart w:id="53" w:name="_Toc328744739"/>
      <w:bookmarkStart w:id="54" w:name="_Toc325115315"/>
      <w:bookmarkStart w:id="55" w:name="_Toc327441329"/>
      <w:bookmarkStart w:id="56" w:name="_Toc458606317"/>
      <w:bookmarkStart w:id="57" w:name="_Toc458606394"/>
      <w:bookmarkStart w:id="58" w:name="_Toc458606485"/>
      <w:bookmarkStart w:id="59" w:name="_Toc461696207"/>
      <w:r w:rsidRPr="00E80CC8">
        <w:rPr>
          <w:lang w:val="en-US"/>
        </w:rPr>
        <w:t xml:space="preserve">Quantity of </w:t>
      </w:r>
      <w:r w:rsidR="008F1C1B">
        <w:rPr>
          <w:lang w:val="en-US"/>
        </w:rPr>
        <w:t>h</w:t>
      </w:r>
      <w:r w:rsidRPr="00E80CC8">
        <w:rPr>
          <w:lang w:val="en-US"/>
        </w:rPr>
        <w:t xml:space="preserve">ousing </w:t>
      </w:r>
      <w:r w:rsidR="008F1C1B">
        <w:rPr>
          <w:lang w:val="en-US"/>
        </w:rPr>
        <w:t>n</w:t>
      </w:r>
      <w:r w:rsidRPr="00E80CC8">
        <w:rPr>
          <w:lang w:val="en-US"/>
        </w:rPr>
        <w:t>eeded</w:t>
      </w:r>
      <w:bookmarkEnd w:id="53"/>
    </w:p>
    <w:p w:rsidR="00E80CC8" w:rsidRPr="00E80CC8" w:rsidRDefault="00E80CC8" w:rsidP="00E80CC8">
      <w:pPr>
        <w:pStyle w:val="ListNumber"/>
        <w:rPr>
          <w:lang w:val="en-US"/>
        </w:rPr>
      </w:pPr>
      <w:r w:rsidRPr="00E80CC8">
        <w:rPr>
          <w:lang w:val="en-US"/>
        </w:rPr>
        <w:t xml:space="preserve">Our assessment of a wide range of data sources identified </w:t>
      </w:r>
      <w:r w:rsidR="000349EF">
        <w:rPr>
          <w:lang w:val="en-US"/>
        </w:rPr>
        <w:t>four</w:t>
      </w:r>
      <w:r w:rsidRPr="00E80CC8">
        <w:rPr>
          <w:lang w:val="en-US"/>
        </w:rPr>
        <w:t xml:space="preserve"> separate projections of dwelling numbers for </w:t>
      </w:r>
      <w:r w:rsidR="00A302A7">
        <w:rPr>
          <w:lang w:val="en-US"/>
        </w:rPr>
        <w:t xml:space="preserve">WWPC </w:t>
      </w:r>
      <w:r w:rsidRPr="00E80CC8">
        <w:rPr>
          <w:lang w:val="en-US"/>
        </w:rPr>
        <w:t xml:space="preserve">between </w:t>
      </w:r>
      <w:r w:rsidR="00A302A7">
        <w:rPr>
          <w:lang w:val="en-US"/>
        </w:rPr>
        <w:t>2018</w:t>
      </w:r>
      <w:r w:rsidR="001B1A5F">
        <w:rPr>
          <w:lang w:val="en-US"/>
        </w:rPr>
        <w:t xml:space="preserve"> </w:t>
      </w:r>
      <w:r w:rsidRPr="00E80CC8">
        <w:rPr>
          <w:lang w:val="en-US"/>
        </w:rPr>
        <w:t xml:space="preserve"> and </w:t>
      </w:r>
      <w:r w:rsidR="00A302A7">
        <w:rPr>
          <w:lang w:val="en-US"/>
        </w:rPr>
        <w:t>2033</w:t>
      </w:r>
      <w:r w:rsidR="008F1C1B">
        <w:rPr>
          <w:lang w:val="en-US"/>
        </w:rPr>
        <w:t>:</w:t>
      </w:r>
      <w:r w:rsidR="00A302A7">
        <w:rPr>
          <w:lang w:val="en-US"/>
        </w:rPr>
        <w:t xml:space="preserve"> </w:t>
      </w:r>
    </w:p>
    <w:p w:rsidR="000349EF" w:rsidRPr="002F1F02" w:rsidRDefault="000349EF" w:rsidP="00FC4BB9">
      <w:pPr>
        <w:pStyle w:val="ListNumber"/>
        <w:numPr>
          <w:ilvl w:val="3"/>
          <w:numId w:val="15"/>
        </w:numPr>
        <w:tabs>
          <w:tab w:val="clear" w:pos="1700"/>
          <w:tab w:val="num" w:pos="1134"/>
        </w:tabs>
        <w:ind w:left="1134" w:hanging="283"/>
      </w:pPr>
      <w:r w:rsidRPr="002F1F02">
        <w:t xml:space="preserve">Chichester Local Plan minimum derived figure generates a target of </w:t>
      </w:r>
      <w:r w:rsidRPr="002F1F02">
        <w:rPr>
          <w:b/>
        </w:rPr>
        <w:t xml:space="preserve">139 </w:t>
      </w:r>
      <w:r w:rsidRPr="002F1F02">
        <w:t xml:space="preserve">dwellings over the </w:t>
      </w:r>
      <w:r w:rsidR="000375DA">
        <w:t>Plan period</w:t>
      </w:r>
      <w:r w:rsidRPr="002F1F02">
        <w:t xml:space="preserve"> 2018-2033, or </w:t>
      </w:r>
      <w:r>
        <w:t>9</w:t>
      </w:r>
      <w:r w:rsidR="00704CF8">
        <w:t xml:space="preserve"> dwellings per annum (</w:t>
      </w:r>
      <w:proofErr w:type="spellStart"/>
      <w:r w:rsidRPr="002F1F02">
        <w:t>dpa</w:t>
      </w:r>
      <w:proofErr w:type="spellEnd"/>
      <w:r w:rsidR="00704CF8">
        <w:t>)</w:t>
      </w:r>
      <w:r w:rsidRPr="002F1F02">
        <w:t>;</w:t>
      </w:r>
    </w:p>
    <w:p w:rsidR="000349EF" w:rsidRPr="002F1F02" w:rsidRDefault="000349EF" w:rsidP="00FC4BB9">
      <w:pPr>
        <w:pStyle w:val="ListNumber"/>
        <w:numPr>
          <w:ilvl w:val="3"/>
          <w:numId w:val="15"/>
        </w:numPr>
        <w:tabs>
          <w:tab w:val="clear" w:pos="1700"/>
          <w:tab w:val="num" w:pos="1134"/>
        </w:tabs>
        <w:ind w:left="1134" w:hanging="283"/>
        <w:rPr>
          <w:rFonts w:cs="Arial"/>
          <w:bCs/>
          <w:iCs/>
        </w:rPr>
      </w:pPr>
      <w:r w:rsidRPr="002F1F02">
        <w:t xml:space="preserve">Review of Objectively Assessed Housing Need </w:t>
      </w:r>
      <w:r w:rsidR="00A302A7">
        <w:t xml:space="preserve">(ROAHN) </w:t>
      </w:r>
      <w:r w:rsidRPr="002F1F02">
        <w:t>in light of 2012-based Sub</w:t>
      </w:r>
      <w:r w:rsidR="008F1C1B">
        <w:t>-</w:t>
      </w:r>
      <w:r w:rsidRPr="002F1F02">
        <w:t>national Population Projections</w:t>
      </w:r>
      <w:r w:rsidRPr="002F1F02">
        <w:rPr>
          <w:rFonts w:cs="Arial"/>
          <w:bCs/>
          <w:iCs/>
        </w:rPr>
        <w:t xml:space="preserve"> produces a target of </w:t>
      </w:r>
      <w:r w:rsidRPr="002F1F02">
        <w:rPr>
          <w:rFonts w:cs="Arial"/>
          <w:b/>
          <w:bCs/>
          <w:iCs/>
        </w:rPr>
        <w:t>204</w:t>
      </w:r>
      <w:r w:rsidRPr="002F1F02">
        <w:rPr>
          <w:rFonts w:cs="Arial"/>
          <w:bCs/>
          <w:iCs/>
        </w:rPr>
        <w:t xml:space="preserve"> dwellings between 2018 and 2033</w:t>
      </w:r>
      <w:r>
        <w:rPr>
          <w:rFonts w:cs="Arial"/>
          <w:bCs/>
          <w:iCs/>
        </w:rPr>
        <w:t xml:space="preserve"> or 14</w:t>
      </w:r>
      <w:r w:rsidR="008F1C1B">
        <w:rPr>
          <w:rFonts w:cs="Arial"/>
          <w:bCs/>
          <w:iCs/>
        </w:rPr>
        <w:t xml:space="preserve"> </w:t>
      </w:r>
      <w:proofErr w:type="spellStart"/>
      <w:r>
        <w:rPr>
          <w:rFonts w:cs="Arial"/>
          <w:bCs/>
          <w:iCs/>
        </w:rPr>
        <w:t>dpa</w:t>
      </w:r>
      <w:proofErr w:type="spellEnd"/>
      <w:r w:rsidRPr="002F1F02">
        <w:rPr>
          <w:rFonts w:cs="Arial"/>
          <w:bCs/>
          <w:iCs/>
        </w:rPr>
        <w:t>;</w:t>
      </w:r>
    </w:p>
    <w:p w:rsidR="000349EF" w:rsidRPr="002F1F02" w:rsidRDefault="00B25544" w:rsidP="00FC4BB9">
      <w:pPr>
        <w:pStyle w:val="ListNumber"/>
        <w:numPr>
          <w:ilvl w:val="3"/>
          <w:numId w:val="15"/>
        </w:numPr>
        <w:tabs>
          <w:tab w:val="clear" w:pos="1700"/>
          <w:tab w:val="num" w:pos="1134"/>
        </w:tabs>
        <w:ind w:left="1134" w:hanging="283"/>
      </w:pPr>
      <w:r>
        <w:t>MHCLG</w:t>
      </w:r>
      <w:r w:rsidR="000349EF" w:rsidRPr="002F1F02">
        <w:t xml:space="preserve"> </w:t>
      </w:r>
      <w:r w:rsidR="009D29D4">
        <w:t>h</w:t>
      </w:r>
      <w:r w:rsidR="000349EF" w:rsidRPr="002F1F02">
        <w:t xml:space="preserve">ousehold projections generate a re-based projection of </w:t>
      </w:r>
      <w:r w:rsidR="000349EF" w:rsidRPr="002F1F02">
        <w:rPr>
          <w:b/>
        </w:rPr>
        <w:t xml:space="preserve">249 dwellings </w:t>
      </w:r>
      <w:r w:rsidR="000349EF">
        <w:t xml:space="preserve">over the </w:t>
      </w:r>
      <w:r w:rsidR="000375DA">
        <w:t>Plan period</w:t>
      </w:r>
      <w:r w:rsidR="000349EF">
        <w:t xml:space="preserve"> or 17</w:t>
      </w:r>
      <w:r w:rsidR="009D29D4">
        <w:t xml:space="preserve"> </w:t>
      </w:r>
      <w:proofErr w:type="spellStart"/>
      <w:r w:rsidR="000349EF">
        <w:t>dpa</w:t>
      </w:r>
      <w:proofErr w:type="spellEnd"/>
      <w:r w:rsidR="000349EF" w:rsidRPr="002F1F02">
        <w:t>;</w:t>
      </w:r>
      <w:r w:rsidR="000349EF">
        <w:t xml:space="preserve"> and</w:t>
      </w:r>
    </w:p>
    <w:p w:rsidR="000349EF" w:rsidRPr="002F1F02" w:rsidRDefault="000349EF" w:rsidP="00FC4BB9">
      <w:pPr>
        <w:pStyle w:val="ListNumber"/>
        <w:numPr>
          <w:ilvl w:val="3"/>
          <w:numId w:val="15"/>
        </w:numPr>
        <w:tabs>
          <w:tab w:val="clear" w:pos="1700"/>
          <w:tab w:val="num" w:pos="1134"/>
        </w:tabs>
        <w:ind w:left="1134" w:hanging="283"/>
        <w:rPr>
          <w:bCs/>
          <w:iCs/>
        </w:rPr>
      </w:pPr>
      <w:r w:rsidRPr="002F1F02">
        <w:t xml:space="preserve">A projection derived from homes growth between 2001 and 2017 of </w:t>
      </w:r>
      <w:r w:rsidRPr="002F1F02">
        <w:rPr>
          <w:b/>
        </w:rPr>
        <w:t xml:space="preserve">136 homes over the </w:t>
      </w:r>
      <w:r w:rsidR="000375DA">
        <w:rPr>
          <w:b/>
        </w:rPr>
        <w:t>Plan period</w:t>
      </w:r>
      <w:r w:rsidRPr="002F1F02">
        <w:rPr>
          <w:b/>
        </w:rPr>
        <w:t xml:space="preserve"> of 2018-2033</w:t>
      </w:r>
      <w:r>
        <w:t>, or 9</w:t>
      </w:r>
      <w:r w:rsidR="006D30FE">
        <w:t xml:space="preserve"> </w:t>
      </w:r>
      <w:proofErr w:type="spellStart"/>
      <w:r>
        <w:t>dpa</w:t>
      </w:r>
      <w:proofErr w:type="spellEnd"/>
      <w:r>
        <w:t xml:space="preserve">. </w:t>
      </w:r>
    </w:p>
    <w:p w:rsidR="00E80CC8" w:rsidRDefault="00E80CC8" w:rsidP="00E80CC8">
      <w:pPr>
        <w:pStyle w:val="ListNumber"/>
        <w:rPr>
          <w:lang w:val="en-US"/>
        </w:rPr>
      </w:pPr>
      <w:r w:rsidRPr="00E80CC8">
        <w:rPr>
          <w:lang w:val="en-US"/>
        </w:rPr>
        <w:t xml:space="preserve">These dwelling number projections are illustrated in Figure 1 below. </w:t>
      </w:r>
    </w:p>
    <w:p w:rsidR="008D11A6" w:rsidRPr="00E80CC8" w:rsidRDefault="008D11A6" w:rsidP="008D11A6">
      <w:pPr>
        <w:pStyle w:val="ListNumber"/>
        <w:numPr>
          <w:ilvl w:val="0"/>
          <w:numId w:val="0"/>
        </w:numPr>
        <w:ind w:left="425"/>
        <w:rPr>
          <w:lang w:val="en-US"/>
        </w:rPr>
      </w:pPr>
    </w:p>
    <w:bookmarkEnd w:id="54"/>
    <w:bookmarkEnd w:id="55"/>
    <w:bookmarkEnd w:id="56"/>
    <w:bookmarkEnd w:id="57"/>
    <w:bookmarkEnd w:id="58"/>
    <w:bookmarkEnd w:id="59"/>
    <w:p w:rsidR="00FC4BB9" w:rsidRDefault="00FC4BB9">
      <w:pPr>
        <w:tabs>
          <w:tab w:val="clear" w:pos="284"/>
        </w:tabs>
        <w:spacing w:line="240" w:lineRule="auto"/>
        <w:rPr>
          <w:b/>
          <w:szCs w:val="22"/>
          <w:lang w:val="en-US"/>
        </w:rPr>
      </w:pPr>
      <w:r>
        <w:rPr>
          <w:b/>
          <w:szCs w:val="22"/>
          <w:lang w:val="en-US"/>
        </w:rPr>
        <w:br w:type="page"/>
      </w:r>
    </w:p>
    <w:p w:rsidR="00FC4BB9" w:rsidRDefault="00FC4BB9" w:rsidP="00FC4BB9">
      <w:pPr>
        <w:pStyle w:val="Caption"/>
      </w:pPr>
      <w:bookmarkStart w:id="60" w:name="_Ref503426487"/>
      <w:r>
        <w:lastRenderedPageBreak/>
        <w:t xml:space="preserve">Figure </w:t>
      </w:r>
      <w:fldSimple w:instr=" SEQ Figure \* ARABIC ">
        <w:r w:rsidR="00A258B5">
          <w:rPr>
            <w:noProof/>
          </w:rPr>
          <w:t>1</w:t>
        </w:r>
      </w:fldSimple>
      <w:bookmarkEnd w:id="60"/>
      <w:r>
        <w:t xml:space="preserve">: </w:t>
      </w:r>
      <w:r w:rsidR="00DC7A83">
        <w:t>Dwelling projections for West Wittering</w:t>
      </w:r>
      <w:r w:rsidRPr="001714ED">
        <w:t>, 2018-2033</w:t>
      </w:r>
    </w:p>
    <w:p w:rsidR="00A302A7" w:rsidRDefault="0027422F" w:rsidP="00CE19EC">
      <w:pPr>
        <w:pStyle w:val="Source"/>
      </w:pPr>
      <w:r>
        <w:rPr>
          <w:noProof/>
          <w:lang w:eastAsia="en-GB"/>
        </w:rPr>
        <w:drawing>
          <wp:inline distT="0" distB="0" distL="0" distR="0" wp14:anchorId="000BE75B" wp14:editId="63B7353F">
            <wp:extent cx="5818908" cy="4262005"/>
            <wp:effectExtent l="0" t="0" r="10795" b="24765"/>
            <wp:docPr id="27" name="Chart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E80CC8" w:rsidRDefault="00E80CC8" w:rsidP="00CE19EC">
      <w:pPr>
        <w:pStyle w:val="Source"/>
      </w:pPr>
      <w:r w:rsidRPr="00E80CC8">
        <w:t xml:space="preserve">Source: </w:t>
      </w:r>
      <w:r w:rsidR="00AB7A47">
        <w:t>AECOM</w:t>
      </w:r>
    </w:p>
    <w:p w:rsidR="007D0C11" w:rsidRPr="008762AB" w:rsidRDefault="007D0C11" w:rsidP="00FC4BB9">
      <w:pPr>
        <w:pStyle w:val="ListNumber"/>
      </w:pPr>
      <w:r w:rsidRPr="008762AB">
        <w:t>The graph above sets out the total number of homes factoring in each of the pr</w:t>
      </w:r>
      <w:r w:rsidR="00704CF8">
        <w:t>ojections we have identified</w:t>
      </w:r>
      <w:r w:rsidRPr="008762AB">
        <w:t xml:space="preserve">. So, for example, factoring in </w:t>
      </w:r>
      <w:r w:rsidR="00B25544">
        <w:t>MHCLG</w:t>
      </w:r>
      <w:r w:rsidRPr="008762AB">
        <w:t xml:space="preserve"> derived data (orange line) to the number of dwellings that have already been built in the NPA between 2011 and 1st January 2016 (</w:t>
      </w:r>
      <w:r w:rsidR="00704CF8">
        <w:t>71</w:t>
      </w:r>
      <w:r w:rsidRPr="008762AB">
        <w:t xml:space="preserve">) produces a requirement that </w:t>
      </w:r>
      <w:r w:rsidR="0027422F">
        <w:t xml:space="preserve">the total number of homes (the total of those existing, plus additional dwellings completed over the Plan period) at the end of the Plan period </w:t>
      </w:r>
      <w:r w:rsidRPr="008762AB">
        <w:t xml:space="preserve">in the NPA </w:t>
      </w:r>
      <w:r w:rsidR="0027422F">
        <w:t xml:space="preserve">should come to </w:t>
      </w:r>
      <w:r w:rsidR="00704CF8">
        <w:t>2060</w:t>
      </w:r>
      <w:r w:rsidRPr="008762AB">
        <w:t xml:space="preserve"> homes</w:t>
      </w:r>
      <w:r w:rsidR="0027422F">
        <w:t xml:space="preserve">. </w:t>
      </w:r>
    </w:p>
    <w:p w:rsidR="00750AD2" w:rsidRPr="00D6665E" w:rsidRDefault="00750AD2" w:rsidP="00FC4BB9">
      <w:pPr>
        <w:pStyle w:val="ListNumber"/>
      </w:pPr>
      <w:r w:rsidRPr="00D6665E">
        <w:t>The starting point to arrive at an overall projection for housing numbers to be deli</w:t>
      </w:r>
      <w:r w:rsidR="00704CF8">
        <w:t>vered in the NPA over the Plan p</w:t>
      </w:r>
      <w:r w:rsidRPr="00D6665E">
        <w:t xml:space="preserve">eriod is the average of the four projections set out above; we depart from this approach if we have reason to believe a given projection should be </w:t>
      </w:r>
      <w:r w:rsidR="003A0168">
        <w:t>accorded</w:t>
      </w:r>
      <w:r w:rsidR="003A0168" w:rsidRPr="00D6665E">
        <w:t xml:space="preserve"> </w:t>
      </w:r>
      <w:r w:rsidRPr="00D6665E">
        <w:t xml:space="preserve">more weight than others, or should be excluded. For example, if the Local Plan was out of date in planning terms, or another </w:t>
      </w:r>
      <w:r w:rsidR="003A0168">
        <w:t xml:space="preserve">projection </w:t>
      </w:r>
      <w:r w:rsidRPr="00D6665E">
        <w:t xml:space="preserve">was a clear outlier.  </w:t>
      </w:r>
    </w:p>
    <w:p w:rsidR="00750AD2" w:rsidRPr="00D6665E" w:rsidRDefault="00750AD2" w:rsidP="00FC4BB9">
      <w:pPr>
        <w:pStyle w:val="ListNumber"/>
      </w:pPr>
      <w:r w:rsidRPr="00D6665E">
        <w:t>In the case of</w:t>
      </w:r>
      <w:r w:rsidR="00704CF8">
        <w:t xml:space="preserve"> West Wittering</w:t>
      </w:r>
      <w:r w:rsidRPr="00750AD2">
        <w:t xml:space="preserve">, </w:t>
      </w:r>
      <w:r w:rsidRPr="00D6665E">
        <w:t xml:space="preserve">we do not see any justification for awarding any one projection greater weight, therefore the initial housing projection for the town is </w:t>
      </w:r>
      <w:r w:rsidR="00704CF8">
        <w:t>182</w:t>
      </w:r>
      <w:r w:rsidRPr="00D6665E">
        <w:t xml:space="preserve"> dwellings, or </w:t>
      </w:r>
      <w:r w:rsidR="00704CF8">
        <w:t>12</w:t>
      </w:r>
      <w:r w:rsidR="003A0168">
        <w:t xml:space="preserve"> </w:t>
      </w:r>
      <w:proofErr w:type="spellStart"/>
      <w:r w:rsidR="00704CF8">
        <w:t>dpa</w:t>
      </w:r>
      <w:proofErr w:type="spellEnd"/>
      <w:r w:rsidR="00704CF8">
        <w:t xml:space="preserve"> (rounded)</w:t>
      </w:r>
      <w:r>
        <w:t xml:space="preserve"> </w:t>
      </w:r>
      <w:r w:rsidR="00704CF8">
        <w:t>over the P</w:t>
      </w:r>
      <w:r w:rsidRPr="00D6665E">
        <w:t xml:space="preserve">lan period. </w:t>
      </w:r>
    </w:p>
    <w:p w:rsidR="00750AD2" w:rsidRPr="00F13868" w:rsidRDefault="00750AD2" w:rsidP="00FC4BB9">
      <w:pPr>
        <w:pStyle w:val="ListNumber"/>
      </w:pPr>
      <w:r w:rsidRPr="00D6665E">
        <w:t xml:space="preserve">Moreover, a further assessment </w:t>
      </w:r>
      <w:r w:rsidR="00963B2B">
        <w:t xml:space="preserve">of relevant factors </w:t>
      </w:r>
      <w:r w:rsidRPr="00D6665E">
        <w:t>applied to this initial projection indicates that market signals (for example</w:t>
      </w:r>
      <w:r w:rsidR="00D938B0">
        <w:t>,</w:t>
      </w:r>
      <w:r w:rsidRPr="00D6665E">
        <w:t xml:space="preserve"> the economic context in which the NPA sits</w:t>
      </w:r>
      <w:r w:rsidR="0027422F">
        <w:t xml:space="preserve"> and the movement of house prices)</w:t>
      </w:r>
      <w:r w:rsidRPr="00D6665E">
        <w:t xml:space="preserve">) are likely to impact on it. We have applied our professional judgment on the scales of increase and decrease </w:t>
      </w:r>
      <w:r w:rsidR="00963B2B">
        <w:t xml:space="preserve">in housing requirement </w:t>
      </w:r>
      <w:r w:rsidRPr="00D6665E">
        <w:t xml:space="preserve">associated with </w:t>
      </w:r>
      <w:r w:rsidRPr="005D4C7E">
        <w:t>each factor on a scale from one to three, where one arrow indicates ‘some impact’, two arrows ‘stronger impact’ and three arrows an even stronger impact. Factors are set out in the table below in alphabetical but no other order.</w:t>
      </w:r>
    </w:p>
    <w:p w:rsidR="00FC4BB9" w:rsidRDefault="00FC4BB9" w:rsidP="00FC4BB9">
      <w:pPr>
        <w:pStyle w:val="ListNumber"/>
        <w:rPr>
          <w:b/>
          <w:sz w:val="20"/>
          <w:szCs w:val="22"/>
          <w:lang w:val="en-US"/>
        </w:rPr>
      </w:pPr>
      <w:bookmarkStart w:id="61" w:name="_Toc487974569"/>
      <w:r>
        <w:br w:type="page"/>
      </w:r>
    </w:p>
    <w:bookmarkEnd w:id="61"/>
    <w:p w:rsidR="00FC4BB9" w:rsidRDefault="00FC4BB9" w:rsidP="00FC4BB9">
      <w:pPr>
        <w:pStyle w:val="Caption"/>
      </w:pPr>
      <w:r>
        <w:lastRenderedPageBreak/>
        <w:t xml:space="preserve">Table </w:t>
      </w:r>
      <w:fldSimple w:instr=" SEQ Table \* ARABIC ">
        <w:r w:rsidR="00B25544">
          <w:rPr>
            <w:noProof/>
          </w:rPr>
          <w:t>1</w:t>
        </w:r>
      </w:fldSimple>
      <w:r>
        <w:t xml:space="preserve">: </w:t>
      </w:r>
      <w:r w:rsidRPr="005E6CD1">
        <w:t xml:space="preserve">Summary of factors specific to </w:t>
      </w:r>
      <w:r>
        <w:t xml:space="preserve">West Wittering </w:t>
      </w:r>
      <w:r w:rsidRPr="005E6CD1">
        <w:t>with a potential impact on neighbourhood plan housing quantity</w:t>
      </w:r>
    </w:p>
    <w:tbl>
      <w:tblPr>
        <w:tblW w:w="990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4A0" w:firstRow="1" w:lastRow="0" w:firstColumn="1" w:lastColumn="0" w:noHBand="0" w:noVBand="1"/>
      </w:tblPr>
      <w:tblGrid>
        <w:gridCol w:w="1676"/>
        <w:gridCol w:w="1702"/>
        <w:gridCol w:w="1975"/>
        <w:gridCol w:w="4547"/>
      </w:tblGrid>
      <w:tr w:rsidR="00623832" w:rsidRPr="008042E5" w:rsidTr="00FC4BB9">
        <w:trPr>
          <w:tblHeader/>
        </w:trPr>
        <w:tc>
          <w:tcPr>
            <w:tcW w:w="1676" w:type="dxa"/>
            <w:shd w:val="clear" w:color="auto" w:fill="000000" w:themeFill="text1"/>
            <w:hideMark/>
          </w:tcPr>
          <w:p w:rsidR="00623832" w:rsidRPr="00E82A91" w:rsidRDefault="00623832" w:rsidP="00FC4BB9">
            <w:pPr>
              <w:pStyle w:val="BodyText"/>
              <w:rPr>
                <w:bCs/>
              </w:rPr>
            </w:pPr>
            <w:r w:rsidRPr="00E82A91">
              <w:rPr>
                <w:bCs/>
              </w:rPr>
              <w:t>Factor</w:t>
            </w:r>
          </w:p>
        </w:tc>
        <w:tc>
          <w:tcPr>
            <w:tcW w:w="1702" w:type="dxa"/>
            <w:shd w:val="clear" w:color="auto" w:fill="000000" w:themeFill="text1"/>
            <w:hideMark/>
          </w:tcPr>
          <w:p w:rsidR="00623832" w:rsidRPr="00E82A91" w:rsidRDefault="00623832" w:rsidP="00FC4BB9">
            <w:pPr>
              <w:pStyle w:val="BodyText"/>
              <w:rPr>
                <w:bCs/>
              </w:rPr>
            </w:pPr>
            <w:r>
              <w:rPr>
                <w:bCs/>
              </w:rPr>
              <w:t>Source(s) (see Chapter 5</w:t>
            </w:r>
            <w:r w:rsidRPr="00E82A91">
              <w:rPr>
                <w:bCs/>
              </w:rPr>
              <w:t>)</w:t>
            </w:r>
          </w:p>
        </w:tc>
        <w:tc>
          <w:tcPr>
            <w:tcW w:w="1975" w:type="dxa"/>
            <w:shd w:val="clear" w:color="auto" w:fill="000000" w:themeFill="text1"/>
            <w:hideMark/>
          </w:tcPr>
          <w:p w:rsidR="00623832" w:rsidRPr="00E82A91" w:rsidRDefault="00623832" w:rsidP="00FC4BB9">
            <w:pPr>
              <w:pStyle w:val="BodyText"/>
              <w:rPr>
                <w:bCs/>
              </w:rPr>
            </w:pPr>
            <w:r w:rsidRPr="00E82A91">
              <w:rPr>
                <w:bCs/>
              </w:rPr>
              <w:t>Possible impact on housing needed</w:t>
            </w:r>
          </w:p>
        </w:tc>
        <w:tc>
          <w:tcPr>
            <w:tcW w:w="4547" w:type="dxa"/>
            <w:shd w:val="clear" w:color="auto" w:fill="000000" w:themeFill="text1"/>
          </w:tcPr>
          <w:p w:rsidR="00623832" w:rsidRPr="00E82A91" w:rsidRDefault="00623832" w:rsidP="00FC4BB9">
            <w:pPr>
              <w:pStyle w:val="BodyText"/>
              <w:rPr>
                <w:bCs/>
              </w:rPr>
            </w:pPr>
            <w:r w:rsidRPr="00E82A91">
              <w:rPr>
                <w:bCs/>
              </w:rPr>
              <w:t>Conclusion</w:t>
            </w:r>
          </w:p>
          <w:p w:rsidR="00623832" w:rsidRPr="00E82A91" w:rsidRDefault="00623832" w:rsidP="00FC4BB9">
            <w:pPr>
              <w:pStyle w:val="BodyText"/>
              <w:rPr>
                <w:bCs/>
              </w:rPr>
            </w:pPr>
          </w:p>
        </w:tc>
      </w:tr>
      <w:tr w:rsidR="00623832" w:rsidRPr="008042E5" w:rsidTr="00FC4BB9">
        <w:tc>
          <w:tcPr>
            <w:tcW w:w="167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rsidR="00623832" w:rsidRPr="008042E5" w:rsidRDefault="00623832" w:rsidP="00FC4BB9">
            <w:pPr>
              <w:pStyle w:val="BodyText"/>
              <w:rPr>
                <w:b/>
                <w:bCs/>
                <w:highlight w:val="yellow"/>
              </w:rPr>
            </w:pPr>
            <w:r w:rsidRPr="00C54D45">
              <w:rPr>
                <w:rFonts w:asciiTheme="majorHAnsi" w:hAnsiTheme="majorHAnsi" w:cstheme="majorHAnsi"/>
                <w:b/>
                <w:szCs w:val="24"/>
              </w:rPr>
              <w:t>Employment trends</w:t>
            </w:r>
          </w:p>
        </w:tc>
        <w:tc>
          <w:tcPr>
            <w:tcW w:w="1702"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rsidR="00623832" w:rsidRPr="00635315" w:rsidRDefault="00623832" w:rsidP="00FC4BB9">
            <w:pPr>
              <w:pStyle w:val="BodyText"/>
              <w:rPr>
                <w:highlight w:val="yellow"/>
              </w:rPr>
            </w:pPr>
            <w:r w:rsidRPr="00A61BFF">
              <w:rPr>
                <w:rFonts w:asciiTheme="majorHAnsi" w:hAnsiTheme="majorHAnsi" w:cstheme="majorHAnsi"/>
                <w:szCs w:val="24"/>
              </w:rPr>
              <w:t xml:space="preserve">LEPSEP, CLP, Census 2001/11 </w:t>
            </w:r>
          </w:p>
        </w:tc>
        <w:tc>
          <w:tcPr>
            <w:tcW w:w="197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rsidR="00623832" w:rsidRPr="008042E5" w:rsidRDefault="00623832" w:rsidP="009625C5">
            <w:pPr>
              <w:pStyle w:val="BodyText"/>
              <w:jc w:val="center"/>
              <w:rPr>
                <w:highlight w:val="yellow"/>
              </w:rPr>
            </w:pPr>
            <w:r w:rsidRPr="00C54D45">
              <w:rPr>
                <w:rFonts w:asciiTheme="majorHAnsi" w:hAnsiTheme="majorHAnsi" w:cstheme="majorHAnsi"/>
                <w:sz w:val="96"/>
                <w:szCs w:val="96"/>
              </w:rPr>
              <w:sym w:font="Symbol" w:char="F0AD"/>
            </w:r>
            <w:r w:rsidRPr="00C54D45">
              <w:rPr>
                <w:rFonts w:asciiTheme="majorHAnsi" w:hAnsiTheme="majorHAnsi" w:cstheme="majorHAnsi"/>
                <w:sz w:val="96"/>
                <w:szCs w:val="96"/>
              </w:rPr>
              <w:sym w:font="Symbol" w:char="F0AD"/>
            </w:r>
          </w:p>
        </w:tc>
        <w:tc>
          <w:tcPr>
            <w:tcW w:w="454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rsidR="009625C5" w:rsidRDefault="00623832" w:rsidP="00FC4BB9">
            <w:pPr>
              <w:pStyle w:val="BodyText"/>
              <w:rPr>
                <w:rFonts w:cstheme="minorHAnsi"/>
                <w:szCs w:val="24"/>
              </w:rPr>
            </w:pPr>
            <w:r w:rsidRPr="00EB08F4">
              <w:rPr>
                <w:rFonts w:cstheme="minorHAnsi"/>
                <w:szCs w:val="24"/>
              </w:rPr>
              <w:t xml:space="preserve">The wider economic area has been shown to have numerous global and competitive companies across a wide </w:t>
            </w:r>
            <w:r w:rsidRPr="001505F0">
              <w:rPr>
                <w:rFonts w:cstheme="minorHAnsi"/>
                <w:szCs w:val="24"/>
              </w:rPr>
              <w:t xml:space="preserve">range of sectors, with a potential for growth. </w:t>
            </w:r>
          </w:p>
          <w:p w:rsidR="00623832" w:rsidRPr="00C8146C" w:rsidRDefault="00623832" w:rsidP="0027422F">
            <w:pPr>
              <w:pStyle w:val="BodyText"/>
              <w:rPr>
                <w:rFonts w:cstheme="minorHAnsi"/>
                <w:highlight w:val="yellow"/>
              </w:rPr>
            </w:pPr>
            <w:r w:rsidRPr="001505F0">
              <w:rPr>
                <w:rFonts w:cstheme="minorHAnsi"/>
                <w:szCs w:val="24"/>
              </w:rPr>
              <w:t xml:space="preserve">Furthermore, future investment in transport infrastructure has been </w:t>
            </w:r>
            <w:r w:rsidRPr="00120488">
              <w:rPr>
                <w:rFonts w:cstheme="minorHAnsi"/>
                <w:szCs w:val="24"/>
              </w:rPr>
              <w:t xml:space="preserve">shown to have a likely impact on West Wittering in terms of demand for housing, as is potential growth in intrinsic </w:t>
            </w:r>
            <w:r w:rsidR="0027422F">
              <w:rPr>
                <w:rFonts w:cstheme="minorHAnsi"/>
                <w:szCs w:val="24"/>
              </w:rPr>
              <w:t>businesses based inside the NPA</w:t>
            </w:r>
            <w:r w:rsidRPr="00120488">
              <w:rPr>
                <w:rFonts w:cstheme="minorHAnsi"/>
                <w:szCs w:val="24"/>
              </w:rPr>
              <w:t>. Therefore two</w:t>
            </w:r>
            <w:r>
              <w:rPr>
                <w:rFonts w:cstheme="minorHAnsi"/>
                <w:szCs w:val="24"/>
              </w:rPr>
              <w:t xml:space="preserve"> up arrows have</w:t>
            </w:r>
            <w:r w:rsidRPr="001505F0">
              <w:rPr>
                <w:rFonts w:cstheme="minorHAnsi"/>
                <w:szCs w:val="24"/>
              </w:rPr>
              <w:t xml:space="preserve"> been deemed appropriate. </w:t>
            </w:r>
          </w:p>
        </w:tc>
      </w:tr>
      <w:tr w:rsidR="00623832" w:rsidRPr="008042E5" w:rsidTr="00FC4BB9">
        <w:trPr>
          <w:trHeight w:val="501"/>
        </w:trPr>
        <w:tc>
          <w:tcPr>
            <w:tcW w:w="167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rsidR="00623832" w:rsidRPr="008042E5" w:rsidRDefault="00623832" w:rsidP="00FC4BB9">
            <w:pPr>
              <w:pStyle w:val="BodyText"/>
              <w:rPr>
                <w:b/>
                <w:bCs/>
                <w:highlight w:val="yellow"/>
              </w:rPr>
            </w:pPr>
            <w:r w:rsidRPr="00C54D45">
              <w:rPr>
                <w:rFonts w:asciiTheme="majorHAnsi" w:hAnsiTheme="majorHAnsi" w:cstheme="majorHAnsi"/>
                <w:b/>
                <w:szCs w:val="24"/>
              </w:rPr>
              <w:t>Housing transactions (</w:t>
            </w:r>
            <w:r w:rsidR="004D69B8">
              <w:rPr>
                <w:rFonts w:asciiTheme="majorHAnsi" w:hAnsiTheme="majorHAnsi" w:cstheme="majorHAnsi"/>
                <w:b/>
                <w:szCs w:val="24"/>
              </w:rPr>
              <w:t>p</w:t>
            </w:r>
            <w:r w:rsidRPr="00C54D45">
              <w:rPr>
                <w:rFonts w:asciiTheme="majorHAnsi" w:hAnsiTheme="majorHAnsi" w:cstheme="majorHAnsi"/>
                <w:b/>
                <w:szCs w:val="24"/>
              </w:rPr>
              <w:t>rices)</w:t>
            </w:r>
          </w:p>
        </w:tc>
        <w:tc>
          <w:tcPr>
            <w:tcW w:w="1702"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rsidR="00623832" w:rsidRPr="00635315" w:rsidRDefault="00623832" w:rsidP="00FC4BB9">
            <w:pPr>
              <w:pStyle w:val="BodyText"/>
              <w:rPr>
                <w:highlight w:val="yellow"/>
              </w:rPr>
            </w:pPr>
            <w:r w:rsidRPr="00A61BFF">
              <w:rPr>
                <w:rFonts w:asciiTheme="majorHAnsi" w:hAnsiTheme="majorHAnsi" w:cstheme="majorHAnsi"/>
                <w:szCs w:val="24"/>
              </w:rPr>
              <w:t>PPG, Land Registry Price Paid Data for  2007-2016, SHMA</w:t>
            </w:r>
          </w:p>
        </w:tc>
        <w:tc>
          <w:tcPr>
            <w:tcW w:w="197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rsidR="00623832" w:rsidRPr="008042E5" w:rsidRDefault="00623832" w:rsidP="009625C5">
            <w:pPr>
              <w:pStyle w:val="BodyText"/>
              <w:jc w:val="center"/>
              <w:rPr>
                <w:highlight w:val="yellow"/>
              </w:rPr>
            </w:pPr>
            <w:r w:rsidRPr="00C54D45">
              <w:rPr>
                <w:rFonts w:asciiTheme="majorHAnsi" w:hAnsiTheme="majorHAnsi" w:cstheme="majorHAnsi"/>
                <w:sz w:val="96"/>
                <w:szCs w:val="96"/>
              </w:rPr>
              <w:sym w:font="Symbol" w:char="F0AD"/>
            </w:r>
            <w:r w:rsidRPr="00C54D45">
              <w:rPr>
                <w:rFonts w:asciiTheme="majorHAnsi" w:hAnsiTheme="majorHAnsi" w:cstheme="majorHAnsi"/>
                <w:sz w:val="96"/>
                <w:szCs w:val="96"/>
              </w:rPr>
              <w:sym w:font="Symbol" w:char="F0AD"/>
            </w:r>
          </w:p>
        </w:tc>
        <w:tc>
          <w:tcPr>
            <w:tcW w:w="454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rsidR="009625C5" w:rsidRDefault="00623832" w:rsidP="00FC4BB9">
            <w:pPr>
              <w:pStyle w:val="BodyText"/>
              <w:rPr>
                <w:rFonts w:cstheme="minorHAnsi"/>
                <w:szCs w:val="24"/>
              </w:rPr>
            </w:pPr>
            <w:r w:rsidRPr="007044A9">
              <w:rPr>
                <w:rFonts w:cstheme="minorHAnsi"/>
                <w:szCs w:val="24"/>
              </w:rPr>
              <w:t>The West Wittering NPA has bee</w:t>
            </w:r>
            <w:r>
              <w:rPr>
                <w:rFonts w:cstheme="minorHAnsi"/>
                <w:szCs w:val="24"/>
              </w:rPr>
              <w:t>n shown to have experienced an 18</w:t>
            </w:r>
            <w:r w:rsidRPr="007044A9">
              <w:rPr>
                <w:rFonts w:cstheme="minorHAnsi"/>
                <w:szCs w:val="24"/>
              </w:rPr>
              <w:t xml:space="preserve">% increase in price paid for properties of all types over a ten year </w:t>
            </w:r>
            <w:r w:rsidRPr="004E0BA1">
              <w:rPr>
                <w:rFonts w:cstheme="minorHAnsi"/>
                <w:szCs w:val="24"/>
              </w:rPr>
              <w:t xml:space="preserve">period. </w:t>
            </w:r>
          </w:p>
          <w:p w:rsidR="00623832" w:rsidRPr="00C8146C" w:rsidRDefault="00623832" w:rsidP="00FC4BB9">
            <w:pPr>
              <w:pStyle w:val="BodyText"/>
              <w:rPr>
                <w:rFonts w:cstheme="minorHAnsi"/>
                <w:highlight w:val="yellow"/>
              </w:rPr>
            </w:pPr>
            <w:r w:rsidRPr="004E0BA1">
              <w:rPr>
                <w:rFonts w:cstheme="minorHAnsi"/>
                <w:szCs w:val="24"/>
              </w:rPr>
              <w:t>The price paid varies per ho</w:t>
            </w:r>
            <w:r w:rsidRPr="00094F58">
              <w:rPr>
                <w:rFonts w:cstheme="minorHAnsi"/>
                <w:szCs w:val="24"/>
              </w:rPr>
              <w:t>using typ</w:t>
            </w:r>
            <w:r w:rsidR="004D69B8">
              <w:rPr>
                <w:rFonts w:cstheme="minorHAnsi"/>
                <w:szCs w:val="24"/>
              </w:rPr>
              <w:t>e</w:t>
            </w:r>
            <w:r w:rsidR="00860785">
              <w:rPr>
                <w:rFonts w:cstheme="minorHAnsi"/>
                <w:szCs w:val="24"/>
              </w:rPr>
              <w:t xml:space="preserve"> (detached, semi-detached, terraced and flats) </w:t>
            </w:r>
            <w:r w:rsidR="00860785" w:rsidRPr="00B04C58">
              <w:rPr>
                <w:rFonts w:cstheme="minorHAnsi"/>
                <w:szCs w:val="24"/>
              </w:rPr>
              <w:t xml:space="preserve"> </w:t>
            </w:r>
            <w:r w:rsidRPr="00094F58">
              <w:rPr>
                <w:rFonts w:cstheme="minorHAnsi"/>
                <w:szCs w:val="24"/>
              </w:rPr>
              <w:t xml:space="preserve"> but has remained relatively high across all types. Although price growth in West Wittering was less than in the </w:t>
            </w:r>
            <w:r w:rsidR="005F5CF8">
              <w:rPr>
                <w:rFonts w:cstheme="minorHAnsi"/>
                <w:szCs w:val="24"/>
              </w:rPr>
              <w:t>District</w:t>
            </w:r>
            <w:r w:rsidRPr="00094F58">
              <w:rPr>
                <w:rFonts w:cstheme="minorHAnsi"/>
                <w:szCs w:val="24"/>
              </w:rPr>
              <w:t xml:space="preserve"> as a whole, this was from a higher base, and therefore, two</w:t>
            </w:r>
            <w:r>
              <w:rPr>
                <w:rFonts w:cstheme="minorHAnsi"/>
                <w:szCs w:val="24"/>
              </w:rPr>
              <w:t xml:space="preserve"> up arrows have</w:t>
            </w:r>
            <w:r w:rsidRPr="00094F58">
              <w:rPr>
                <w:rFonts w:cstheme="minorHAnsi"/>
                <w:szCs w:val="24"/>
              </w:rPr>
              <w:t xml:space="preserve"> been deemed appropriate.</w:t>
            </w:r>
          </w:p>
        </w:tc>
      </w:tr>
      <w:tr w:rsidR="00623832" w:rsidRPr="008042E5" w:rsidTr="00FC4BB9">
        <w:tc>
          <w:tcPr>
            <w:tcW w:w="167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rsidR="00623832" w:rsidRPr="008042E5" w:rsidRDefault="00623832" w:rsidP="00FC4BB9">
            <w:pPr>
              <w:pStyle w:val="BodyText"/>
              <w:rPr>
                <w:b/>
                <w:bCs/>
                <w:highlight w:val="yellow"/>
              </w:rPr>
            </w:pPr>
            <w:r w:rsidRPr="00C54D45">
              <w:rPr>
                <w:rFonts w:asciiTheme="majorHAnsi" w:hAnsiTheme="majorHAnsi" w:cstheme="majorHAnsi"/>
                <w:b/>
                <w:szCs w:val="24"/>
              </w:rPr>
              <w:t>Housing Transactions (</w:t>
            </w:r>
            <w:r w:rsidR="00B267C3">
              <w:rPr>
                <w:rFonts w:asciiTheme="majorHAnsi" w:hAnsiTheme="majorHAnsi" w:cstheme="majorHAnsi"/>
                <w:b/>
                <w:szCs w:val="24"/>
              </w:rPr>
              <w:t>v</w:t>
            </w:r>
            <w:r w:rsidRPr="00C54D45">
              <w:rPr>
                <w:rFonts w:asciiTheme="majorHAnsi" w:hAnsiTheme="majorHAnsi" w:cstheme="majorHAnsi"/>
                <w:b/>
                <w:szCs w:val="24"/>
              </w:rPr>
              <w:t>olume)</w:t>
            </w:r>
          </w:p>
        </w:tc>
        <w:tc>
          <w:tcPr>
            <w:tcW w:w="1702"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rsidR="00623832" w:rsidRPr="00635315" w:rsidRDefault="00623832" w:rsidP="00FC4BB9">
            <w:pPr>
              <w:pStyle w:val="BodyText"/>
              <w:rPr>
                <w:highlight w:val="yellow"/>
              </w:rPr>
            </w:pPr>
            <w:r w:rsidRPr="00A61BFF">
              <w:rPr>
                <w:rFonts w:asciiTheme="majorHAnsi" w:hAnsiTheme="majorHAnsi" w:cstheme="majorHAnsi"/>
                <w:szCs w:val="24"/>
              </w:rPr>
              <w:t>Land Registry Price Paid Data for  2007-201</w:t>
            </w:r>
            <w:r>
              <w:rPr>
                <w:rFonts w:asciiTheme="majorHAnsi" w:hAnsiTheme="majorHAnsi" w:cstheme="majorHAnsi"/>
                <w:szCs w:val="24"/>
              </w:rPr>
              <w:t>6, Census 2001/2011 data, SHMA</w:t>
            </w:r>
          </w:p>
        </w:tc>
        <w:tc>
          <w:tcPr>
            <w:tcW w:w="197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rsidR="00623832" w:rsidRPr="008042E5" w:rsidRDefault="00623832" w:rsidP="009625C5">
            <w:pPr>
              <w:pStyle w:val="BodyText"/>
              <w:jc w:val="center"/>
              <w:rPr>
                <w:highlight w:val="yellow"/>
              </w:rPr>
            </w:pPr>
            <w:r w:rsidRPr="00C54D45">
              <w:rPr>
                <w:rFonts w:asciiTheme="majorHAnsi" w:hAnsiTheme="majorHAnsi" w:cstheme="majorHAnsi"/>
                <w:sz w:val="96"/>
                <w:szCs w:val="96"/>
              </w:rPr>
              <w:sym w:font="Symbol" w:char="F0AD"/>
            </w:r>
          </w:p>
        </w:tc>
        <w:tc>
          <w:tcPr>
            <w:tcW w:w="454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rsidR="00623832" w:rsidRPr="00381A26" w:rsidRDefault="00381A26" w:rsidP="00381A26">
            <w:r w:rsidRPr="00381A26">
              <w:rPr>
                <w:color w:val="000000" w:themeColor="text1"/>
              </w:rPr>
              <w:t xml:space="preserve">The evidence gathered suggests there is a high demand in the NPA for semi-detached housing relative to supply (the number of sales of semi-detached dwellings as a proportion of all sales </w:t>
            </w:r>
            <w:proofErr w:type="gramStart"/>
            <w:r w:rsidRPr="00381A26">
              <w:rPr>
                <w:color w:val="000000" w:themeColor="text1"/>
              </w:rPr>
              <w:t>exceeds</w:t>
            </w:r>
            <w:proofErr w:type="gramEnd"/>
            <w:r w:rsidRPr="00381A26">
              <w:rPr>
                <w:color w:val="000000" w:themeColor="text1"/>
              </w:rPr>
              <w:t xml:space="preserve"> the proportion they represent of the housing stock). This ‘high demand’ scenario justifies one up arrow.</w:t>
            </w:r>
          </w:p>
        </w:tc>
      </w:tr>
      <w:tr w:rsidR="00623832" w:rsidRPr="008042E5" w:rsidTr="00FC4BB9">
        <w:tc>
          <w:tcPr>
            <w:tcW w:w="167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rsidR="00623832" w:rsidRPr="008042E5" w:rsidRDefault="00623832" w:rsidP="00FC4BB9">
            <w:pPr>
              <w:pStyle w:val="BodyText"/>
              <w:rPr>
                <w:b/>
                <w:bCs/>
                <w:highlight w:val="yellow"/>
              </w:rPr>
            </w:pPr>
            <w:r w:rsidRPr="00C54D45">
              <w:rPr>
                <w:rFonts w:asciiTheme="majorHAnsi" w:hAnsiTheme="majorHAnsi" w:cstheme="majorHAnsi"/>
                <w:b/>
                <w:szCs w:val="24"/>
              </w:rPr>
              <w:t xml:space="preserve">Migration </w:t>
            </w:r>
          </w:p>
        </w:tc>
        <w:tc>
          <w:tcPr>
            <w:tcW w:w="1702"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rsidR="00623832" w:rsidRPr="001F4E29" w:rsidRDefault="00B25544" w:rsidP="00C32039">
            <w:pPr>
              <w:pStyle w:val="BodyText"/>
            </w:pPr>
            <w:r>
              <w:rPr>
                <w:rFonts w:asciiTheme="majorHAnsi" w:hAnsiTheme="majorHAnsi" w:cstheme="majorHAnsi"/>
                <w:szCs w:val="24"/>
              </w:rPr>
              <w:t>Census 2001/</w:t>
            </w:r>
            <w:r w:rsidR="00623832" w:rsidRPr="001F4E29">
              <w:rPr>
                <w:rFonts w:asciiTheme="majorHAnsi" w:hAnsiTheme="majorHAnsi" w:cstheme="majorHAnsi"/>
                <w:szCs w:val="24"/>
              </w:rPr>
              <w:t>2011</w:t>
            </w:r>
          </w:p>
        </w:tc>
        <w:tc>
          <w:tcPr>
            <w:tcW w:w="197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rsidR="00623832" w:rsidRPr="008042E5" w:rsidRDefault="00623832" w:rsidP="009625C5">
            <w:pPr>
              <w:pStyle w:val="BodyText"/>
              <w:jc w:val="center"/>
              <w:rPr>
                <w:highlight w:val="yellow"/>
              </w:rPr>
            </w:pPr>
            <w:r w:rsidRPr="00C54D45">
              <w:rPr>
                <w:rFonts w:asciiTheme="majorHAnsi" w:eastAsia="Times New Roman" w:hAnsiTheme="majorHAnsi" w:cstheme="majorHAnsi"/>
                <w:kern w:val="0"/>
                <w:sz w:val="96"/>
                <w:szCs w:val="96"/>
              </w:rPr>
              <w:sym w:font="Symbol" w:char="F0AB"/>
            </w:r>
          </w:p>
        </w:tc>
        <w:tc>
          <w:tcPr>
            <w:tcW w:w="454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rsidR="00623832" w:rsidRPr="00C8146C" w:rsidRDefault="00623832" w:rsidP="00FC4BB9">
            <w:pPr>
              <w:pStyle w:val="BodyText"/>
              <w:rPr>
                <w:rFonts w:cstheme="minorHAnsi"/>
                <w:highlight w:val="yellow"/>
              </w:rPr>
            </w:pPr>
            <w:r w:rsidRPr="00AA3389">
              <w:rPr>
                <w:rFonts w:cstheme="minorHAnsi"/>
                <w:szCs w:val="24"/>
              </w:rPr>
              <w:t>Migration is not seen as</w:t>
            </w:r>
            <w:r>
              <w:rPr>
                <w:rFonts w:cstheme="minorHAnsi"/>
                <w:szCs w:val="24"/>
              </w:rPr>
              <w:t xml:space="preserve"> a</w:t>
            </w:r>
            <w:r w:rsidRPr="00AA3389">
              <w:rPr>
                <w:rFonts w:cstheme="minorHAnsi"/>
                <w:szCs w:val="24"/>
              </w:rPr>
              <w:t xml:space="preserve"> significant factor in determining housing need given that just 22% of the 6.1% of West Wittering residents born outside of the UK arrived in the last 10 years. </w:t>
            </w:r>
          </w:p>
        </w:tc>
      </w:tr>
      <w:tr w:rsidR="00623832" w:rsidRPr="008042E5" w:rsidTr="00FC4BB9">
        <w:tc>
          <w:tcPr>
            <w:tcW w:w="167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rsidR="00623832" w:rsidRPr="008042E5" w:rsidRDefault="00623832" w:rsidP="00FC4BB9">
            <w:pPr>
              <w:pStyle w:val="BodyText"/>
              <w:rPr>
                <w:b/>
                <w:bCs/>
                <w:highlight w:val="yellow"/>
              </w:rPr>
            </w:pPr>
            <w:r w:rsidRPr="00C54D45">
              <w:rPr>
                <w:rFonts w:asciiTheme="majorHAnsi" w:hAnsiTheme="majorHAnsi" w:cstheme="majorHAnsi"/>
                <w:b/>
                <w:szCs w:val="24"/>
              </w:rPr>
              <w:t xml:space="preserve">Overcrowding and concealment </w:t>
            </w:r>
          </w:p>
        </w:tc>
        <w:tc>
          <w:tcPr>
            <w:tcW w:w="1702"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rsidR="00623832" w:rsidRPr="001F4E29" w:rsidRDefault="00623832" w:rsidP="00C32039">
            <w:pPr>
              <w:pStyle w:val="BodyText"/>
            </w:pPr>
            <w:r w:rsidRPr="001F4E29">
              <w:rPr>
                <w:rFonts w:asciiTheme="majorHAnsi" w:hAnsiTheme="majorHAnsi" w:cstheme="majorHAnsi"/>
                <w:szCs w:val="24"/>
              </w:rPr>
              <w:t>Census 2</w:t>
            </w:r>
            <w:r w:rsidR="00B25544">
              <w:rPr>
                <w:rFonts w:asciiTheme="majorHAnsi" w:hAnsiTheme="majorHAnsi" w:cstheme="majorHAnsi"/>
                <w:szCs w:val="24"/>
              </w:rPr>
              <w:t>001/</w:t>
            </w:r>
            <w:r w:rsidRPr="001F4E29">
              <w:rPr>
                <w:rFonts w:asciiTheme="majorHAnsi" w:hAnsiTheme="majorHAnsi" w:cstheme="majorHAnsi"/>
                <w:szCs w:val="24"/>
              </w:rPr>
              <w:t xml:space="preserve"> 2011</w:t>
            </w:r>
          </w:p>
        </w:tc>
        <w:tc>
          <w:tcPr>
            <w:tcW w:w="197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rsidR="00623832" w:rsidRPr="008042E5" w:rsidRDefault="00623832" w:rsidP="009625C5">
            <w:pPr>
              <w:pStyle w:val="BodyText"/>
              <w:jc w:val="center"/>
              <w:rPr>
                <w:highlight w:val="yellow"/>
              </w:rPr>
            </w:pPr>
            <w:r w:rsidRPr="00C54D45">
              <w:rPr>
                <w:rFonts w:asciiTheme="majorHAnsi" w:eastAsia="Times New Roman" w:hAnsiTheme="majorHAnsi" w:cstheme="majorHAnsi"/>
                <w:kern w:val="0"/>
                <w:sz w:val="96"/>
                <w:szCs w:val="96"/>
              </w:rPr>
              <w:sym w:font="Symbol" w:char="F0AB"/>
            </w:r>
          </w:p>
        </w:tc>
        <w:tc>
          <w:tcPr>
            <w:tcW w:w="454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rsidR="00623832" w:rsidRPr="00C8146C" w:rsidRDefault="00623832" w:rsidP="00FC4BB9">
            <w:pPr>
              <w:pStyle w:val="BodyText"/>
              <w:rPr>
                <w:rFonts w:cstheme="minorHAnsi"/>
                <w:highlight w:val="yellow"/>
              </w:rPr>
            </w:pPr>
            <w:r w:rsidRPr="00F02B4F">
              <w:rPr>
                <w:rFonts w:cstheme="minorHAnsi"/>
                <w:szCs w:val="24"/>
              </w:rPr>
              <w:t xml:space="preserve">There is no evidence of overcrowding in West Wittering and although there is some evidence of concealed families, these are not deemed particularly significant given the levels seen in Chichester </w:t>
            </w:r>
            <w:r w:rsidR="005F5CF8">
              <w:rPr>
                <w:rFonts w:cstheme="minorHAnsi"/>
                <w:szCs w:val="24"/>
              </w:rPr>
              <w:t>District</w:t>
            </w:r>
            <w:r w:rsidRPr="00F02B4F">
              <w:rPr>
                <w:rFonts w:cstheme="minorHAnsi"/>
                <w:szCs w:val="24"/>
              </w:rPr>
              <w:t xml:space="preserve"> as a whole. </w:t>
            </w:r>
          </w:p>
        </w:tc>
      </w:tr>
      <w:tr w:rsidR="00623832" w:rsidRPr="008042E5" w:rsidTr="00FC4BB9">
        <w:tc>
          <w:tcPr>
            <w:tcW w:w="167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rsidR="00623832" w:rsidRPr="008042E5" w:rsidRDefault="00623832" w:rsidP="00FC4BB9">
            <w:pPr>
              <w:pStyle w:val="BodyText"/>
              <w:rPr>
                <w:b/>
                <w:bCs/>
                <w:highlight w:val="yellow"/>
              </w:rPr>
            </w:pPr>
            <w:r w:rsidRPr="00C54D45">
              <w:rPr>
                <w:rFonts w:asciiTheme="majorHAnsi" w:hAnsiTheme="majorHAnsi" w:cstheme="majorHAnsi"/>
                <w:b/>
                <w:szCs w:val="24"/>
              </w:rPr>
              <w:t>Rate of development</w:t>
            </w:r>
          </w:p>
        </w:tc>
        <w:tc>
          <w:tcPr>
            <w:tcW w:w="1702"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rsidR="00623832" w:rsidRPr="00635315" w:rsidRDefault="00623832" w:rsidP="00FC4BB9">
            <w:pPr>
              <w:pStyle w:val="BodyText"/>
              <w:rPr>
                <w:bCs/>
                <w:highlight w:val="yellow"/>
              </w:rPr>
            </w:pPr>
            <w:r w:rsidRPr="001F4E29">
              <w:t xml:space="preserve">Chichester </w:t>
            </w:r>
            <w:r w:rsidR="005F5CF8">
              <w:t>District</w:t>
            </w:r>
            <w:r w:rsidRPr="001F4E29">
              <w:t xml:space="preserve"> Council Authority’s Monitoring Report 2015-2016</w:t>
            </w:r>
            <w:r w:rsidRPr="001F4E29">
              <w:rPr>
                <w:rFonts w:asciiTheme="majorHAnsi" w:hAnsiTheme="majorHAnsi" w:cstheme="majorHAnsi"/>
                <w:szCs w:val="24"/>
              </w:rPr>
              <w:t>, SHMA</w:t>
            </w:r>
          </w:p>
        </w:tc>
        <w:tc>
          <w:tcPr>
            <w:tcW w:w="197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rsidR="00623832" w:rsidRPr="008042E5" w:rsidRDefault="005F5CF8" w:rsidP="009625C5">
            <w:pPr>
              <w:pStyle w:val="BodyText"/>
              <w:jc w:val="center"/>
              <w:rPr>
                <w:bCs/>
                <w:highlight w:val="yellow"/>
              </w:rPr>
            </w:pPr>
            <w:r w:rsidRPr="00C54D45">
              <w:rPr>
                <w:rFonts w:asciiTheme="majorHAnsi" w:eastAsia="Times New Roman" w:hAnsiTheme="majorHAnsi" w:cstheme="majorHAnsi"/>
                <w:kern w:val="0"/>
                <w:sz w:val="96"/>
                <w:szCs w:val="96"/>
              </w:rPr>
              <w:sym w:font="Symbol" w:char="F0AB"/>
            </w:r>
          </w:p>
        </w:tc>
        <w:tc>
          <w:tcPr>
            <w:tcW w:w="454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rsidR="00623832" w:rsidRPr="00C8146C" w:rsidRDefault="00623832" w:rsidP="005F5CF8">
            <w:pPr>
              <w:pStyle w:val="BodyText"/>
              <w:rPr>
                <w:rFonts w:cstheme="minorHAnsi"/>
                <w:highlight w:val="yellow"/>
                <w:lang w:val="en-US"/>
              </w:rPr>
            </w:pPr>
            <w:r>
              <w:rPr>
                <w:rFonts w:cstheme="minorHAnsi"/>
                <w:szCs w:val="24"/>
              </w:rPr>
              <w:t xml:space="preserve">Chichester </w:t>
            </w:r>
            <w:r w:rsidR="005F5CF8">
              <w:rPr>
                <w:rFonts w:cstheme="minorHAnsi"/>
                <w:szCs w:val="24"/>
              </w:rPr>
              <w:t>District has consistently met, or exceeded its housing target in recent years</w:t>
            </w:r>
            <w:r>
              <w:rPr>
                <w:rFonts w:cstheme="minorHAnsi"/>
                <w:szCs w:val="24"/>
              </w:rPr>
              <w:t xml:space="preserve">. Furthermore, </w:t>
            </w:r>
            <w:r>
              <w:t>the</w:t>
            </w:r>
            <w:r w:rsidRPr="00604333">
              <w:rPr>
                <w:rFonts w:cstheme="minorHAnsi"/>
                <w:szCs w:val="24"/>
              </w:rPr>
              <w:t xml:space="preserve"> rate of development </w:t>
            </w:r>
            <w:r>
              <w:rPr>
                <w:rFonts w:cstheme="minorHAnsi"/>
                <w:szCs w:val="24"/>
              </w:rPr>
              <w:t xml:space="preserve">in West </w:t>
            </w:r>
            <w:r w:rsidRPr="00444DB9">
              <w:rPr>
                <w:rFonts w:cstheme="minorHAnsi"/>
                <w:szCs w:val="24"/>
              </w:rPr>
              <w:t>Wittering shows that actual supply is in line with planned supply. Therefore it is reasonable to suggest that the rate of development indicates there is only a small potential for future under</w:t>
            </w:r>
            <w:r w:rsidR="005F5CF8">
              <w:rPr>
                <w:rFonts w:cstheme="minorHAnsi"/>
                <w:szCs w:val="24"/>
              </w:rPr>
              <w:t>-</w:t>
            </w:r>
            <w:r w:rsidRPr="00444DB9">
              <w:rPr>
                <w:rFonts w:cstheme="minorHAnsi"/>
                <w:szCs w:val="24"/>
              </w:rPr>
              <w:t>delivery and</w:t>
            </w:r>
            <w:r w:rsidR="00113319">
              <w:rPr>
                <w:rFonts w:cstheme="minorHAnsi"/>
                <w:szCs w:val="24"/>
              </w:rPr>
              <w:t>,</w:t>
            </w:r>
            <w:r w:rsidRPr="00444DB9">
              <w:rPr>
                <w:rFonts w:cstheme="minorHAnsi"/>
                <w:szCs w:val="24"/>
              </w:rPr>
              <w:t xml:space="preserve"> as such</w:t>
            </w:r>
            <w:r w:rsidR="005F5CF8">
              <w:rPr>
                <w:rFonts w:cstheme="minorHAnsi"/>
                <w:szCs w:val="24"/>
              </w:rPr>
              <w:t xml:space="preserve">, a neutral arrow is considered appropriate. </w:t>
            </w:r>
          </w:p>
        </w:tc>
      </w:tr>
    </w:tbl>
    <w:p w:rsidR="00623832" w:rsidRDefault="00623832" w:rsidP="00623832">
      <w:pPr>
        <w:pStyle w:val="BodyText"/>
        <w:rPr>
          <w:highlight w:val="yellow"/>
        </w:rPr>
      </w:pPr>
    </w:p>
    <w:p w:rsidR="009625C5" w:rsidRPr="00FC4BB9" w:rsidRDefault="009625C5" w:rsidP="00FC4BB9">
      <w:pPr>
        <w:pStyle w:val="ListNumber"/>
        <w:rPr>
          <w:lang w:val="en-US"/>
        </w:rPr>
      </w:pPr>
      <w:r w:rsidRPr="00FC4BB9">
        <w:rPr>
          <w:lang w:val="en-US"/>
        </w:rPr>
        <w:t xml:space="preserve">Table 2 </w:t>
      </w:r>
      <w:proofErr w:type="spellStart"/>
      <w:r w:rsidRPr="00FC4BB9">
        <w:rPr>
          <w:lang w:val="en-US"/>
        </w:rPr>
        <w:t>summarises</w:t>
      </w:r>
      <w:proofErr w:type="spellEnd"/>
      <w:r w:rsidRPr="00FC4BB9">
        <w:rPr>
          <w:lang w:val="en-US"/>
        </w:rPr>
        <w:t xml:space="preserve"> the market signals that need to be taken into account before arriving at a final housing needs figure for the </w:t>
      </w:r>
      <w:r w:rsidR="005F5CF8">
        <w:rPr>
          <w:lang w:val="en-US"/>
        </w:rPr>
        <w:t>Parish</w:t>
      </w:r>
      <w:r w:rsidRPr="00FC4BB9">
        <w:rPr>
          <w:lang w:val="en-US"/>
        </w:rPr>
        <w:t xml:space="preserve">. Two key factors have been identified that would suggest an uplift is warranted. Firstly, the anticipated employment growth in the wider </w:t>
      </w:r>
      <w:r w:rsidR="005F5CF8">
        <w:rPr>
          <w:lang w:val="en-US"/>
        </w:rPr>
        <w:t>District</w:t>
      </w:r>
      <w:r w:rsidRPr="00FC4BB9">
        <w:rPr>
          <w:lang w:val="en-US"/>
        </w:rPr>
        <w:t xml:space="preserve"> and, secondly, the house price growth in recent years together </w:t>
      </w:r>
      <w:r w:rsidRPr="00FC4BB9">
        <w:rPr>
          <w:lang w:val="en-US"/>
        </w:rPr>
        <w:lastRenderedPageBreak/>
        <w:t xml:space="preserve">with the indication from local estate agents that house prices are high in West </w:t>
      </w:r>
      <w:proofErr w:type="spellStart"/>
      <w:r w:rsidRPr="00FC4BB9">
        <w:rPr>
          <w:lang w:val="en-US"/>
        </w:rPr>
        <w:t>Wittering</w:t>
      </w:r>
      <w:proofErr w:type="spellEnd"/>
      <w:r w:rsidRPr="00FC4BB9">
        <w:rPr>
          <w:lang w:val="en-US"/>
        </w:rPr>
        <w:t xml:space="preserve"> compared with its immediate context</w:t>
      </w:r>
      <w:r w:rsidR="00282747" w:rsidRPr="00FC4BB9">
        <w:rPr>
          <w:lang w:val="en-US"/>
        </w:rPr>
        <w:t xml:space="preserve"> (see Table 2 below)</w:t>
      </w:r>
      <w:r w:rsidRPr="00FC4BB9">
        <w:rPr>
          <w:lang w:val="en-US"/>
        </w:rPr>
        <w:t xml:space="preserve">. </w:t>
      </w:r>
    </w:p>
    <w:p w:rsidR="009E6194" w:rsidRPr="00FC4BB9" w:rsidRDefault="009E6194" w:rsidP="00FC4BB9">
      <w:pPr>
        <w:pStyle w:val="ListNumber"/>
        <w:rPr>
          <w:lang w:val="en-US"/>
        </w:rPr>
      </w:pPr>
      <w:r w:rsidRPr="00FC4BB9">
        <w:rPr>
          <w:lang w:val="en-US"/>
        </w:rPr>
        <w:t xml:space="preserve">The evidence assembled points to a severe misalignment </w:t>
      </w:r>
      <w:r w:rsidR="00E22623">
        <w:rPr>
          <w:lang w:val="en-US"/>
        </w:rPr>
        <w:t xml:space="preserve">between the </w:t>
      </w:r>
      <w:r w:rsidRPr="00FC4BB9">
        <w:rPr>
          <w:lang w:val="en-US"/>
        </w:rPr>
        <w:t>housing stock</w:t>
      </w:r>
      <w:r w:rsidR="00E22623">
        <w:rPr>
          <w:lang w:val="en-US"/>
        </w:rPr>
        <w:t xml:space="preserve"> and the needs of the community</w:t>
      </w:r>
      <w:r w:rsidRPr="00FC4BB9">
        <w:rPr>
          <w:lang w:val="en-US"/>
        </w:rPr>
        <w:t xml:space="preserve">, with a preponderance of larger, detached dwellings and a shortage of smaller, more affordable homes. Rather than </w:t>
      </w:r>
      <w:r w:rsidR="002D48CC">
        <w:rPr>
          <w:lang w:val="en-US"/>
        </w:rPr>
        <w:t xml:space="preserve">necessarily substantially </w:t>
      </w:r>
      <w:r w:rsidRPr="00FC4BB9">
        <w:rPr>
          <w:lang w:val="en-US"/>
        </w:rPr>
        <w:t>increas</w:t>
      </w:r>
      <w:r w:rsidR="002D48CC">
        <w:rPr>
          <w:lang w:val="en-US"/>
        </w:rPr>
        <w:t>ing</w:t>
      </w:r>
      <w:r w:rsidRPr="00FC4BB9">
        <w:rPr>
          <w:lang w:val="en-US"/>
        </w:rPr>
        <w:t xml:space="preserve"> the overall stock of dwellings, a</w:t>
      </w:r>
      <w:r w:rsidR="002D48CC">
        <w:rPr>
          <w:lang w:val="en-US"/>
        </w:rPr>
        <w:t>n important</w:t>
      </w:r>
      <w:r w:rsidRPr="00FC4BB9">
        <w:rPr>
          <w:lang w:val="en-US"/>
        </w:rPr>
        <w:t xml:space="preserve"> policy objective should be re-balancing the housing stock </w:t>
      </w:r>
      <w:r w:rsidR="002D48CC">
        <w:rPr>
          <w:lang w:val="en-US"/>
        </w:rPr>
        <w:t xml:space="preserve">profile </w:t>
      </w:r>
      <w:r w:rsidRPr="00FC4BB9">
        <w:rPr>
          <w:lang w:val="en-US"/>
        </w:rPr>
        <w:t xml:space="preserve">to address </w:t>
      </w:r>
      <w:proofErr w:type="gramStart"/>
      <w:r w:rsidRPr="00FC4BB9">
        <w:rPr>
          <w:lang w:val="en-US"/>
        </w:rPr>
        <w:t>these misalignment</w:t>
      </w:r>
      <w:proofErr w:type="gramEnd"/>
      <w:r w:rsidRPr="00FC4BB9">
        <w:rPr>
          <w:lang w:val="en-US"/>
        </w:rPr>
        <w:t xml:space="preserve">. </w:t>
      </w:r>
      <w:r w:rsidR="0007787E" w:rsidRPr="00FC4BB9">
        <w:rPr>
          <w:lang w:val="en-US"/>
        </w:rPr>
        <w:t xml:space="preserve">While this will inevitably mean additional development, it does not provide the basis </w:t>
      </w:r>
      <w:proofErr w:type="gramStart"/>
      <w:r w:rsidR="0007787E" w:rsidRPr="00FC4BB9">
        <w:rPr>
          <w:lang w:val="en-US"/>
        </w:rPr>
        <w:t xml:space="preserve">for </w:t>
      </w:r>
      <w:r w:rsidR="00232BBE">
        <w:rPr>
          <w:lang w:val="en-US"/>
        </w:rPr>
        <w:t xml:space="preserve"> an</w:t>
      </w:r>
      <w:proofErr w:type="gramEnd"/>
      <w:r w:rsidR="00232BBE">
        <w:rPr>
          <w:lang w:val="en-US"/>
        </w:rPr>
        <w:t xml:space="preserve"> </w:t>
      </w:r>
      <w:r w:rsidR="002C5D9F" w:rsidRPr="00FC4BB9">
        <w:rPr>
          <w:lang w:val="en-US"/>
        </w:rPr>
        <w:t>uplift</w:t>
      </w:r>
      <w:r w:rsidR="0007787E" w:rsidRPr="00FC4BB9">
        <w:rPr>
          <w:lang w:val="en-US"/>
        </w:rPr>
        <w:t xml:space="preserve"> in the housing target put forward </w:t>
      </w:r>
      <w:r w:rsidR="00FC4BB9" w:rsidRPr="00FC4BB9">
        <w:rPr>
          <w:lang w:val="en-US"/>
        </w:rPr>
        <w:t>above</w:t>
      </w:r>
      <w:r w:rsidR="0007787E" w:rsidRPr="00FC4BB9">
        <w:rPr>
          <w:lang w:val="en-US"/>
        </w:rPr>
        <w:t>.</w:t>
      </w:r>
    </w:p>
    <w:p w:rsidR="009E6194" w:rsidRPr="00FC4BB9" w:rsidRDefault="009E6194" w:rsidP="00FC4BB9">
      <w:pPr>
        <w:pStyle w:val="ListNumber"/>
        <w:rPr>
          <w:lang w:val="en-US"/>
        </w:rPr>
      </w:pPr>
      <w:r w:rsidRPr="00FC4BB9">
        <w:rPr>
          <w:lang w:val="en-US"/>
        </w:rPr>
        <w:t xml:space="preserve">As regards the evidence of employment growth, data of this kind should be treated with caution given the difficulty </w:t>
      </w:r>
      <w:r w:rsidR="00232BBE">
        <w:rPr>
          <w:lang w:val="en-US"/>
        </w:rPr>
        <w:t>in</w:t>
      </w:r>
      <w:r w:rsidR="00232BBE" w:rsidRPr="00FC4BB9">
        <w:rPr>
          <w:lang w:val="en-US"/>
        </w:rPr>
        <w:t xml:space="preserve"> </w:t>
      </w:r>
      <w:r w:rsidRPr="00FC4BB9">
        <w:rPr>
          <w:lang w:val="en-US"/>
        </w:rPr>
        <w:t xml:space="preserve">making accurate economic forecasts. At the neighbourhood plan level, it can only rarely be used as the sole basis for justifying </w:t>
      </w:r>
      <w:proofErr w:type="gramStart"/>
      <w:r w:rsidR="0007787E" w:rsidRPr="00FC4BB9">
        <w:rPr>
          <w:lang w:val="en-US"/>
        </w:rPr>
        <w:t xml:space="preserve">an </w:t>
      </w:r>
      <w:r w:rsidRPr="00FC4BB9">
        <w:rPr>
          <w:lang w:val="en-US"/>
        </w:rPr>
        <w:t>upli</w:t>
      </w:r>
      <w:r w:rsidR="0007787E" w:rsidRPr="00FC4BB9">
        <w:rPr>
          <w:lang w:val="en-US"/>
        </w:rPr>
        <w:t>ft</w:t>
      </w:r>
      <w:proofErr w:type="gramEnd"/>
      <w:r w:rsidR="0007787E" w:rsidRPr="00FC4BB9">
        <w:rPr>
          <w:lang w:val="en-US"/>
        </w:rPr>
        <w:t xml:space="preserve"> in the housing needs number, for example where the evidence is incontrovertible and is reinforced by other market signals. </w:t>
      </w:r>
    </w:p>
    <w:p w:rsidR="009E6194" w:rsidRPr="00FC4BB9" w:rsidRDefault="009E6194" w:rsidP="00FC4BB9">
      <w:pPr>
        <w:pStyle w:val="ListNumber"/>
        <w:rPr>
          <w:lang w:val="en-US"/>
        </w:rPr>
      </w:pPr>
      <w:r w:rsidRPr="00FC4BB9">
        <w:rPr>
          <w:lang w:val="en-US"/>
        </w:rPr>
        <w:t>These fact</w:t>
      </w:r>
      <w:r w:rsidR="0007787E" w:rsidRPr="00FC4BB9">
        <w:rPr>
          <w:lang w:val="en-US"/>
        </w:rPr>
        <w:t xml:space="preserve">ors therefore do not justify </w:t>
      </w:r>
      <w:proofErr w:type="gramStart"/>
      <w:r w:rsidR="0007787E" w:rsidRPr="00FC4BB9">
        <w:rPr>
          <w:lang w:val="en-US"/>
        </w:rPr>
        <w:t xml:space="preserve">an </w:t>
      </w:r>
      <w:r w:rsidRPr="00FC4BB9">
        <w:rPr>
          <w:lang w:val="en-US"/>
        </w:rPr>
        <w:t>uplift</w:t>
      </w:r>
      <w:proofErr w:type="gramEnd"/>
      <w:r w:rsidRPr="00FC4BB9">
        <w:rPr>
          <w:lang w:val="en-US"/>
        </w:rPr>
        <w:t xml:space="preserve"> in the figure of 182 set out </w:t>
      </w:r>
      <w:r w:rsidR="00B25544">
        <w:rPr>
          <w:lang w:val="en-US"/>
        </w:rPr>
        <w:t>above</w:t>
      </w:r>
      <w:r w:rsidRPr="00FC4BB9">
        <w:rPr>
          <w:lang w:val="en-US"/>
        </w:rPr>
        <w:t xml:space="preserve">, particularly in light of the NPA fulfilling its housing targets under the current adopted plan.   </w:t>
      </w:r>
    </w:p>
    <w:p w:rsidR="00FC4BB9" w:rsidRDefault="00FC4BB9" w:rsidP="00FC4BB9">
      <w:pPr>
        <w:pStyle w:val="Caption"/>
      </w:pPr>
      <w:r>
        <w:t xml:space="preserve">Table </w:t>
      </w:r>
      <w:fldSimple w:instr=" SEQ Table \* ARABIC ">
        <w:r w:rsidR="00B25544">
          <w:rPr>
            <w:noProof/>
          </w:rPr>
          <w:t>2</w:t>
        </w:r>
      </w:fldSimple>
      <w:r>
        <w:t xml:space="preserve">: </w:t>
      </w:r>
      <w:r w:rsidRPr="00B93D87">
        <w:t xml:space="preserve">Summary of factors specific to West Wittering with a potential impact on neighbourhood plan housing </w:t>
      </w:r>
      <w:r w:rsidR="00435EAC">
        <w:t xml:space="preserve">characteristics </w:t>
      </w:r>
    </w:p>
    <w:tbl>
      <w:tblPr>
        <w:tblW w:w="990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4A0" w:firstRow="1" w:lastRow="0" w:firstColumn="1" w:lastColumn="0" w:noHBand="0" w:noVBand="1"/>
      </w:tblPr>
      <w:tblGrid>
        <w:gridCol w:w="1676"/>
        <w:gridCol w:w="1702"/>
        <w:gridCol w:w="3403"/>
        <w:gridCol w:w="3119"/>
      </w:tblGrid>
      <w:tr w:rsidR="00623832" w:rsidRPr="00B90B1C" w:rsidTr="00FC4BB9">
        <w:trPr>
          <w:tblHeader/>
        </w:trPr>
        <w:tc>
          <w:tcPr>
            <w:tcW w:w="1676" w:type="dxa"/>
            <w:shd w:val="clear" w:color="auto" w:fill="000000" w:themeFill="text1"/>
            <w:hideMark/>
          </w:tcPr>
          <w:p w:rsidR="00623832" w:rsidRPr="00B90B1C" w:rsidRDefault="00623832" w:rsidP="00FC4BB9">
            <w:pPr>
              <w:pStyle w:val="BodyText"/>
              <w:rPr>
                <w:bCs/>
              </w:rPr>
            </w:pPr>
            <w:r w:rsidRPr="00B90B1C">
              <w:rPr>
                <w:bCs/>
              </w:rPr>
              <w:t>Factor</w:t>
            </w:r>
          </w:p>
        </w:tc>
        <w:tc>
          <w:tcPr>
            <w:tcW w:w="1702" w:type="dxa"/>
            <w:shd w:val="clear" w:color="auto" w:fill="000000" w:themeFill="text1"/>
            <w:hideMark/>
          </w:tcPr>
          <w:p w:rsidR="00623832" w:rsidRPr="00B90B1C" w:rsidRDefault="00623832" w:rsidP="00FC4BB9">
            <w:pPr>
              <w:pStyle w:val="BodyText"/>
              <w:rPr>
                <w:bCs/>
              </w:rPr>
            </w:pPr>
            <w:r>
              <w:rPr>
                <w:bCs/>
              </w:rPr>
              <w:t>Source(s) (see Chapter 3</w:t>
            </w:r>
            <w:r w:rsidRPr="00B90B1C">
              <w:rPr>
                <w:bCs/>
              </w:rPr>
              <w:t>)</w:t>
            </w:r>
          </w:p>
        </w:tc>
        <w:tc>
          <w:tcPr>
            <w:tcW w:w="3403" w:type="dxa"/>
            <w:shd w:val="clear" w:color="auto" w:fill="000000" w:themeFill="text1"/>
            <w:hideMark/>
          </w:tcPr>
          <w:p w:rsidR="00623832" w:rsidRPr="00B90B1C" w:rsidRDefault="00623832" w:rsidP="00FC4BB9">
            <w:pPr>
              <w:pStyle w:val="BodyText"/>
              <w:rPr>
                <w:bCs/>
              </w:rPr>
            </w:pPr>
            <w:r w:rsidRPr="00B90B1C">
              <w:rPr>
                <w:bCs/>
              </w:rPr>
              <w:t>Possible impact on housing needed</w:t>
            </w:r>
          </w:p>
        </w:tc>
        <w:tc>
          <w:tcPr>
            <w:tcW w:w="3119" w:type="dxa"/>
            <w:shd w:val="clear" w:color="auto" w:fill="000000" w:themeFill="text1"/>
          </w:tcPr>
          <w:p w:rsidR="00623832" w:rsidRPr="00B90B1C" w:rsidRDefault="00623832" w:rsidP="00FC4BB9">
            <w:pPr>
              <w:pStyle w:val="BodyText"/>
              <w:rPr>
                <w:bCs/>
              </w:rPr>
            </w:pPr>
            <w:r w:rsidRPr="00B90B1C">
              <w:rPr>
                <w:bCs/>
              </w:rPr>
              <w:t>Conclusion</w:t>
            </w:r>
          </w:p>
          <w:p w:rsidR="00623832" w:rsidRPr="00B90B1C" w:rsidRDefault="00623832" w:rsidP="00FC4BB9">
            <w:pPr>
              <w:pStyle w:val="BodyText"/>
              <w:rPr>
                <w:bCs/>
              </w:rPr>
            </w:pPr>
          </w:p>
        </w:tc>
      </w:tr>
      <w:tr w:rsidR="00623832" w:rsidRPr="00B90B1C" w:rsidTr="00FC4BB9">
        <w:tc>
          <w:tcPr>
            <w:tcW w:w="167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rsidR="00623832" w:rsidRPr="00B90B1C" w:rsidRDefault="00623832" w:rsidP="00FC4BB9">
            <w:pPr>
              <w:pStyle w:val="BodyText"/>
              <w:rPr>
                <w:b/>
                <w:bCs/>
              </w:rPr>
            </w:pPr>
            <w:r w:rsidRPr="00B90B1C">
              <w:rPr>
                <w:b/>
                <w:bCs/>
              </w:rPr>
              <w:t>Affordable Housing</w:t>
            </w:r>
            <w:r>
              <w:rPr>
                <w:b/>
                <w:bCs/>
              </w:rPr>
              <w:t xml:space="preserve"> (AH)</w:t>
            </w:r>
          </w:p>
        </w:tc>
        <w:tc>
          <w:tcPr>
            <w:tcW w:w="1702"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rsidR="00623832" w:rsidRPr="00B90B1C" w:rsidRDefault="00623832" w:rsidP="00FC4BB9">
            <w:pPr>
              <w:pStyle w:val="BodyText"/>
            </w:pPr>
            <w:r>
              <w:t xml:space="preserve">Land Registry price paid data, </w:t>
            </w:r>
            <w:r w:rsidRPr="00BA1D3D">
              <w:t>CWSS12</w:t>
            </w:r>
            <w:r>
              <w:t xml:space="preserve">, </w:t>
            </w:r>
            <w:r w:rsidRPr="00212B9F">
              <w:t>AHDNS14</w:t>
            </w:r>
            <w:r>
              <w:t>, Local Agents survey</w:t>
            </w:r>
          </w:p>
        </w:tc>
        <w:tc>
          <w:tcPr>
            <w:tcW w:w="340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rsidR="00623832" w:rsidRPr="004277B5" w:rsidRDefault="00623832" w:rsidP="00FC4BB9">
            <w:pPr>
              <w:pStyle w:val="BodyText"/>
              <w:rPr>
                <w:color w:val="000000" w:themeColor="text1"/>
              </w:rPr>
            </w:pPr>
            <w:r w:rsidRPr="004277B5">
              <w:rPr>
                <w:color w:val="000000" w:themeColor="text1"/>
              </w:rPr>
              <w:t xml:space="preserve">According to data presented in CWSS12, 70% of all households in Chichester South </w:t>
            </w:r>
            <w:r w:rsidR="005F5CF8">
              <w:rPr>
                <w:color w:val="000000" w:themeColor="text1"/>
              </w:rPr>
              <w:t xml:space="preserve"> (a sub-area of the HMA in which West Wittering is located) </w:t>
            </w:r>
            <w:r w:rsidRPr="004277B5">
              <w:rPr>
                <w:color w:val="000000" w:themeColor="text1"/>
              </w:rPr>
              <w:t>can access private rented housing, and 50% are able to buy an entry-level (two bedroom) dwelling priced at £160,000</w:t>
            </w:r>
            <w:r>
              <w:rPr>
                <w:color w:val="000000" w:themeColor="text1"/>
              </w:rPr>
              <w:t>.</w:t>
            </w:r>
          </w:p>
          <w:p w:rsidR="00623832" w:rsidRPr="004277B5" w:rsidRDefault="00623832" w:rsidP="00FC4BB9">
            <w:pPr>
              <w:pStyle w:val="BodyText"/>
              <w:rPr>
                <w:color w:val="000000" w:themeColor="text1"/>
              </w:rPr>
            </w:pPr>
            <w:r w:rsidRPr="004277B5">
              <w:rPr>
                <w:color w:val="000000" w:themeColor="text1"/>
              </w:rPr>
              <w:t xml:space="preserve">Local agents reported at the end of 2017 that prices for entry level dwellings </w:t>
            </w:r>
            <w:r>
              <w:rPr>
                <w:color w:val="000000" w:themeColor="text1"/>
              </w:rPr>
              <w:t xml:space="preserve">(two </w:t>
            </w:r>
            <w:proofErr w:type="gramStart"/>
            <w:r>
              <w:rPr>
                <w:color w:val="000000" w:themeColor="text1"/>
              </w:rPr>
              <w:t>bedroom</w:t>
            </w:r>
            <w:proofErr w:type="gramEnd"/>
            <w:r>
              <w:rPr>
                <w:color w:val="000000" w:themeColor="text1"/>
              </w:rPr>
              <w:t xml:space="preserve">) </w:t>
            </w:r>
            <w:r w:rsidRPr="004277B5">
              <w:rPr>
                <w:color w:val="000000" w:themeColor="text1"/>
              </w:rPr>
              <w:t>may be substantially greater than those reported in the CWSS12, and m</w:t>
            </w:r>
            <w:r>
              <w:rPr>
                <w:color w:val="000000" w:themeColor="text1"/>
              </w:rPr>
              <w:t>ay have reached around £280,000.</w:t>
            </w:r>
          </w:p>
          <w:p w:rsidR="00623832" w:rsidRPr="004277B5" w:rsidRDefault="00623832" w:rsidP="00FC4BB9">
            <w:pPr>
              <w:pStyle w:val="BodyText"/>
              <w:rPr>
                <w:bCs/>
                <w:iCs/>
                <w:color w:val="000000" w:themeColor="text1"/>
                <w:lang w:val="en-US"/>
              </w:rPr>
            </w:pPr>
            <w:r>
              <w:rPr>
                <w:bCs/>
                <w:iCs/>
                <w:color w:val="000000" w:themeColor="text1"/>
                <w:lang w:val="en-US"/>
              </w:rPr>
              <w:t>A Median Affordability R</w:t>
            </w:r>
            <w:r w:rsidRPr="004277B5">
              <w:rPr>
                <w:bCs/>
                <w:iCs/>
                <w:color w:val="000000" w:themeColor="text1"/>
                <w:lang w:val="en-US"/>
              </w:rPr>
              <w:t xml:space="preserve">atio (MAR) of 3.9 is recorded for </w:t>
            </w:r>
            <w:proofErr w:type="spellStart"/>
            <w:r w:rsidRPr="004277B5">
              <w:rPr>
                <w:bCs/>
                <w:iCs/>
                <w:color w:val="000000" w:themeColor="text1"/>
                <w:lang w:val="en-US"/>
              </w:rPr>
              <w:t>Chichester</w:t>
            </w:r>
            <w:proofErr w:type="spellEnd"/>
            <w:r w:rsidRPr="004277B5">
              <w:rPr>
                <w:bCs/>
                <w:iCs/>
                <w:color w:val="000000" w:themeColor="text1"/>
                <w:lang w:val="en-US"/>
              </w:rPr>
              <w:t xml:space="preserve"> South</w:t>
            </w:r>
            <w:r>
              <w:rPr>
                <w:bCs/>
                <w:iCs/>
                <w:color w:val="000000" w:themeColor="text1"/>
                <w:lang w:val="en-US"/>
              </w:rPr>
              <w:t>.</w:t>
            </w:r>
          </w:p>
          <w:p w:rsidR="00623832" w:rsidRPr="004277B5" w:rsidRDefault="00623832" w:rsidP="00FC4BB9">
            <w:pPr>
              <w:pStyle w:val="BodyText"/>
              <w:rPr>
                <w:bCs/>
                <w:iCs/>
                <w:color w:val="000000" w:themeColor="text1"/>
                <w:lang w:val="en-US"/>
              </w:rPr>
            </w:pPr>
            <w:r w:rsidRPr="004277B5">
              <w:rPr>
                <w:bCs/>
                <w:iCs/>
                <w:color w:val="000000" w:themeColor="text1"/>
                <w:lang w:val="en-US"/>
              </w:rPr>
              <w:t xml:space="preserve">The Lower Quartile Affordability Ratio (LQAR) for </w:t>
            </w:r>
            <w:proofErr w:type="spellStart"/>
            <w:r w:rsidRPr="004277B5">
              <w:rPr>
                <w:bCs/>
                <w:iCs/>
                <w:color w:val="000000" w:themeColor="text1"/>
                <w:lang w:val="en-US"/>
              </w:rPr>
              <w:t>Chi</w:t>
            </w:r>
            <w:r>
              <w:rPr>
                <w:bCs/>
                <w:iCs/>
                <w:color w:val="000000" w:themeColor="text1"/>
                <w:lang w:val="en-US"/>
              </w:rPr>
              <w:t>chester</w:t>
            </w:r>
            <w:proofErr w:type="spellEnd"/>
            <w:r>
              <w:rPr>
                <w:bCs/>
                <w:iCs/>
                <w:color w:val="000000" w:themeColor="text1"/>
                <w:lang w:val="en-US"/>
              </w:rPr>
              <w:t xml:space="preserve"> is reported to be 10.41.</w:t>
            </w:r>
          </w:p>
          <w:p w:rsidR="00623832" w:rsidRPr="004277B5" w:rsidRDefault="00623832" w:rsidP="00DF035B">
            <w:pPr>
              <w:pStyle w:val="BodyText"/>
              <w:rPr>
                <w:color w:val="000000" w:themeColor="text1"/>
              </w:rPr>
            </w:pPr>
            <w:r w:rsidRPr="004277B5">
              <w:rPr>
                <w:bCs/>
                <w:iCs/>
                <w:color w:val="000000" w:themeColor="text1"/>
                <w:lang w:val="en-US"/>
              </w:rPr>
              <w:t xml:space="preserve">Between 2007 and 2016, house prices </w:t>
            </w:r>
            <w:r w:rsidR="00DF035B">
              <w:rPr>
                <w:bCs/>
                <w:iCs/>
                <w:color w:val="000000" w:themeColor="text1"/>
                <w:lang w:val="en-US"/>
              </w:rPr>
              <w:t>were</w:t>
            </w:r>
            <w:r w:rsidR="00DF035B" w:rsidRPr="004277B5">
              <w:rPr>
                <w:bCs/>
                <w:iCs/>
                <w:color w:val="000000" w:themeColor="text1"/>
                <w:lang w:val="en-US"/>
              </w:rPr>
              <w:t xml:space="preserve"> </w:t>
            </w:r>
            <w:r w:rsidRPr="004277B5">
              <w:rPr>
                <w:bCs/>
                <w:iCs/>
                <w:color w:val="000000" w:themeColor="text1"/>
                <w:lang w:val="en-US"/>
              </w:rPr>
              <w:t xml:space="preserve">reported to have increased by 18% in West </w:t>
            </w:r>
            <w:proofErr w:type="spellStart"/>
            <w:r w:rsidRPr="004277B5">
              <w:rPr>
                <w:bCs/>
                <w:iCs/>
                <w:color w:val="000000" w:themeColor="text1"/>
                <w:lang w:val="en-US"/>
              </w:rPr>
              <w:t>Wittering</w:t>
            </w:r>
            <w:proofErr w:type="spellEnd"/>
            <w:r w:rsidRPr="004277B5">
              <w:rPr>
                <w:bCs/>
                <w:iCs/>
                <w:color w:val="000000" w:themeColor="text1"/>
                <w:lang w:val="en-US"/>
              </w:rPr>
              <w:t>.</w:t>
            </w:r>
          </w:p>
        </w:tc>
        <w:tc>
          <w:tcPr>
            <w:tcW w:w="3119"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rsidR="00623832" w:rsidRPr="004277B5" w:rsidRDefault="00623832" w:rsidP="00FC4BB9">
            <w:pPr>
              <w:pStyle w:val="ListNumber"/>
              <w:numPr>
                <w:ilvl w:val="0"/>
                <w:numId w:val="0"/>
              </w:numPr>
              <w:rPr>
                <w:bCs/>
                <w:iCs/>
                <w:color w:val="000000" w:themeColor="text1"/>
                <w:lang w:val="en-US"/>
              </w:rPr>
            </w:pPr>
            <w:r w:rsidRPr="004277B5">
              <w:rPr>
                <w:bCs/>
                <w:iCs/>
                <w:color w:val="000000" w:themeColor="text1"/>
                <w:lang w:val="en-US"/>
              </w:rPr>
              <w:t xml:space="preserve">Based on evidence of need drawn from </w:t>
            </w:r>
            <w:proofErr w:type="spellStart"/>
            <w:r w:rsidRPr="004277B5">
              <w:rPr>
                <w:bCs/>
                <w:iCs/>
                <w:color w:val="000000" w:themeColor="text1"/>
                <w:lang w:val="en-US"/>
              </w:rPr>
              <w:t>Chichester’s</w:t>
            </w:r>
            <w:proofErr w:type="spellEnd"/>
            <w:r w:rsidRPr="004277B5">
              <w:rPr>
                <w:bCs/>
                <w:iCs/>
                <w:color w:val="000000" w:themeColor="text1"/>
                <w:lang w:val="en-US"/>
              </w:rPr>
              <w:t xml:space="preserve"> Housing Waiting List Register (that shows </w:t>
            </w:r>
            <w:r w:rsidR="00DF035B">
              <w:rPr>
                <w:bCs/>
                <w:iCs/>
                <w:color w:val="000000" w:themeColor="text1"/>
                <w:lang w:val="en-US"/>
              </w:rPr>
              <w:t>nine</w:t>
            </w:r>
            <w:r w:rsidR="00DF035B" w:rsidRPr="004277B5">
              <w:rPr>
                <w:bCs/>
                <w:iCs/>
                <w:color w:val="000000" w:themeColor="text1"/>
                <w:lang w:val="en-US"/>
              </w:rPr>
              <w:t xml:space="preserve"> </w:t>
            </w:r>
            <w:r w:rsidRPr="004277B5">
              <w:rPr>
                <w:bCs/>
                <w:iCs/>
                <w:color w:val="000000" w:themeColor="text1"/>
                <w:lang w:val="en-US"/>
              </w:rPr>
              <w:t>households expressing an interest in occu</w:t>
            </w:r>
            <w:r>
              <w:rPr>
                <w:bCs/>
                <w:iCs/>
                <w:color w:val="000000" w:themeColor="text1"/>
                <w:lang w:val="en-US"/>
              </w:rPr>
              <w:t xml:space="preserve">pying housing in West </w:t>
            </w:r>
            <w:proofErr w:type="spellStart"/>
            <w:r>
              <w:rPr>
                <w:bCs/>
                <w:iCs/>
                <w:color w:val="000000" w:themeColor="text1"/>
                <w:lang w:val="en-US"/>
              </w:rPr>
              <w:t>Wittering</w:t>
            </w:r>
            <w:proofErr w:type="spellEnd"/>
            <w:r>
              <w:rPr>
                <w:bCs/>
                <w:iCs/>
                <w:color w:val="000000" w:themeColor="text1"/>
                <w:lang w:val="en-US"/>
              </w:rPr>
              <w:t>)</w:t>
            </w:r>
            <w:r w:rsidR="00DF035B">
              <w:rPr>
                <w:bCs/>
                <w:iCs/>
                <w:color w:val="000000" w:themeColor="text1"/>
                <w:lang w:val="en-US"/>
              </w:rPr>
              <w:t>,</w:t>
            </w:r>
            <w:r w:rsidRPr="004277B5">
              <w:rPr>
                <w:bCs/>
                <w:iCs/>
                <w:color w:val="000000" w:themeColor="text1"/>
                <w:lang w:val="en-US"/>
              </w:rPr>
              <w:t xml:space="preserve"> there is no basis on which to seek a different proportion of affordable housing from </w:t>
            </w:r>
            <w:r>
              <w:rPr>
                <w:bCs/>
                <w:iCs/>
                <w:color w:val="000000" w:themeColor="text1"/>
                <w:lang w:val="en-US"/>
              </w:rPr>
              <w:t xml:space="preserve">new residential </w:t>
            </w:r>
            <w:r w:rsidRPr="004277B5">
              <w:rPr>
                <w:bCs/>
                <w:iCs/>
                <w:color w:val="000000" w:themeColor="text1"/>
                <w:lang w:val="en-US"/>
              </w:rPr>
              <w:t xml:space="preserve">development </w:t>
            </w:r>
            <w:r>
              <w:rPr>
                <w:bCs/>
                <w:iCs/>
                <w:color w:val="000000" w:themeColor="text1"/>
                <w:lang w:val="en-US"/>
              </w:rPr>
              <w:t>coming forward over the Plan period than Policy 34 of CLP.</w:t>
            </w:r>
            <w:r w:rsidRPr="004277B5">
              <w:rPr>
                <w:bCs/>
                <w:iCs/>
                <w:color w:val="000000" w:themeColor="text1"/>
                <w:lang w:val="en-US"/>
              </w:rPr>
              <w:t xml:space="preserve"> </w:t>
            </w:r>
          </w:p>
          <w:p w:rsidR="00623832" w:rsidRPr="004277B5" w:rsidRDefault="00623832" w:rsidP="00FC4BB9">
            <w:pPr>
              <w:pStyle w:val="ListNumber"/>
              <w:numPr>
                <w:ilvl w:val="0"/>
                <w:numId w:val="0"/>
              </w:numPr>
              <w:rPr>
                <w:bCs/>
                <w:iCs/>
                <w:color w:val="000000" w:themeColor="text1"/>
                <w:lang w:val="en-US"/>
              </w:rPr>
            </w:pPr>
            <w:r w:rsidRPr="004277B5">
              <w:rPr>
                <w:bCs/>
                <w:iCs/>
                <w:color w:val="000000" w:themeColor="text1"/>
                <w:lang w:val="en-US"/>
              </w:rPr>
              <w:t xml:space="preserve">However, given </w:t>
            </w:r>
            <w:r w:rsidR="00EA4085">
              <w:rPr>
                <w:bCs/>
                <w:iCs/>
                <w:color w:val="000000" w:themeColor="text1"/>
                <w:lang w:val="en-US"/>
              </w:rPr>
              <w:t xml:space="preserve">that </w:t>
            </w:r>
            <w:r w:rsidRPr="004277B5">
              <w:rPr>
                <w:bCs/>
                <w:iCs/>
                <w:color w:val="000000" w:themeColor="text1"/>
                <w:lang w:val="en-US"/>
              </w:rPr>
              <w:t xml:space="preserve">the waiting list may under-report need and the conclusions in this study relating to affordability of housing </w:t>
            </w:r>
            <w:r>
              <w:rPr>
                <w:bCs/>
                <w:iCs/>
                <w:color w:val="000000" w:themeColor="text1"/>
                <w:lang w:val="en-US"/>
              </w:rPr>
              <w:t xml:space="preserve">to those </w:t>
            </w:r>
            <w:r w:rsidRPr="004277B5">
              <w:rPr>
                <w:bCs/>
                <w:iCs/>
                <w:color w:val="000000" w:themeColor="text1"/>
                <w:lang w:val="en-US"/>
              </w:rPr>
              <w:t>on low incomes, WWPC should adopt an assertive attitude regard</w:t>
            </w:r>
            <w:r w:rsidR="00EA4085">
              <w:rPr>
                <w:bCs/>
                <w:iCs/>
                <w:color w:val="000000" w:themeColor="text1"/>
                <w:lang w:val="en-US"/>
              </w:rPr>
              <w:t>ing</w:t>
            </w:r>
            <w:r w:rsidRPr="004277B5">
              <w:rPr>
                <w:bCs/>
                <w:iCs/>
                <w:color w:val="000000" w:themeColor="text1"/>
                <w:lang w:val="en-US"/>
              </w:rPr>
              <w:t xml:space="preserve"> the </w:t>
            </w:r>
            <w:r>
              <w:rPr>
                <w:bCs/>
                <w:iCs/>
                <w:color w:val="000000" w:themeColor="text1"/>
                <w:lang w:val="en-US"/>
              </w:rPr>
              <w:t>delivery of affordable housing.</w:t>
            </w:r>
            <w:r w:rsidRPr="004277B5">
              <w:rPr>
                <w:bCs/>
                <w:iCs/>
                <w:color w:val="000000" w:themeColor="text1"/>
                <w:lang w:val="en-US"/>
              </w:rPr>
              <w:t xml:space="preserve"> </w:t>
            </w:r>
          </w:p>
          <w:p w:rsidR="00623832" w:rsidRPr="004277B5" w:rsidRDefault="00623832" w:rsidP="00FC4BB9">
            <w:pPr>
              <w:pStyle w:val="BodyText"/>
              <w:rPr>
                <w:color w:val="000000" w:themeColor="text1"/>
              </w:rPr>
            </w:pPr>
            <w:r w:rsidRPr="004277B5">
              <w:rPr>
                <w:color w:val="000000" w:themeColor="text1"/>
              </w:rPr>
              <w:t>The high LQAR suggests those households on the lowest incomes will struggle to access housing of a suitable size; it is therefore appropriate that the majority of AH fal</w:t>
            </w:r>
            <w:r>
              <w:rPr>
                <w:color w:val="000000" w:themeColor="text1"/>
              </w:rPr>
              <w:t>l into the ‘social rented’ category.</w:t>
            </w:r>
            <w:r w:rsidRPr="004277B5">
              <w:rPr>
                <w:color w:val="000000" w:themeColor="text1"/>
              </w:rPr>
              <w:t xml:space="preserve"> </w:t>
            </w:r>
          </w:p>
          <w:p w:rsidR="00623832" w:rsidRPr="004277B5" w:rsidRDefault="00623832" w:rsidP="00FC4BB9">
            <w:pPr>
              <w:pStyle w:val="BodyText"/>
              <w:rPr>
                <w:color w:val="000000" w:themeColor="text1"/>
              </w:rPr>
            </w:pPr>
            <w:r w:rsidRPr="004277B5">
              <w:rPr>
                <w:color w:val="000000" w:themeColor="text1"/>
              </w:rPr>
              <w:t>Given the relatively high cost of housing in West Wittering (based on estate agent feedback) we do not see a role for Discounted for Sale Dwellings (for example starter homes) given that, once the 20% discount has been taken into account, prices are likely to remain beyond the reach of first time buyer</w:t>
            </w:r>
            <w:r>
              <w:rPr>
                <w:color w:val="000000" w:themeColor="text1"/>
              </w:rPr>
              <w:t>s.</w:t>
            </w:r>
            <w:r w:rsidRPr="004277B5">
              <w:rPr>
                <w:color w:val="000000" w:themeColor="text1"/>
              </w:rPr>
              <w:t xml:space="preserve"> </w:t>
            </w:r>
          </w:p>
          <w:p w:rsidR="00623832" w:rsidRPr="004277B5" w:rsidRDefault="00623832" w:rsidP="00FC4BB9">
            <w:pPr>
              <w:pStyle w:val="BodyText"/>
              <w:rPr>
                <w:color w:val="000000" w:themeColor="text1"/>
              </w:rPr>
            </w:pPr>
            <w:r w:rsidRPr="004277B5">
              <w:rPr>
                <w:color w:val="000000" w:themeColor="text1"/>
              </w:rPr>
              <w:t>Notwithstanding</w:t>
            </w:r>
            <w:r w:rsidR="002F0796">
              <w:rPr>
                <w:color w:val="000000" w:themeColor="text1"/>
              </w:rPr>
              <w:t xml:space="preserve"> this</w:t>
            </w:r>
            <w:r w:rsidRPr="004277B5">
              <w:rPr>
                <w:color w:val="000000" w:themeColor="text1"/>
              </w:rPr>
              <w:t xml:space="preserve">, we do see a </w:t>
            </w:r>
            <w:r w:rsidRPr="004277B5">
              <w:rPr>
                <w:color w:val="000000" w:themeColor="text1"/>
              </w:rPr>
              <w:lastRenderedPageBreak/>
              <w:t>role for other forms of i</w:t>
            </w:r>
            <w:r>
              <w:rPr>
                <w:color w:val="000000" w:themeColor="text1"/>
              </w:rPr>
              <w:t>ntermediate housing, for example</w:t>
            </w:r>
            <w:r w:rsidRPr="004277B5">
              <w:rPr>
                <w:color w:val="000000" w:themeColor="text1"/>
              </w:rPr>
              <w:t xml:space="preserve"> share</w:t>
            </w:r>
            <w:r>
              <w:rPr>
                <w:color w:val="000000" w:themeColor="text1"/>
              </w:rPr>
              <w:t>d equity dwellings.</w:t>
            </w:r>
          </w:p>
        </w:tc>
      </w:tr>
      <w:tr w:rsidR="00623832" w:rsidRPr="00B90B1C" w:rsidTr="00FC4BB9">
        <w:trPr>
          <w:trHeight w:val="501"/>
        </w:trPr>
        <w:tc>
          <w:tcPr>
            <w:tcW w:w="167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rsidR="00623832" w:rsidRPr="00B90B1C" w:rsidRDefault="00623832" w:rsidP="00FC4BB9">
            <w:pPr>
              <w:pStyle w:val="BodyText"/>
              <w:rPr>
                <w:b/>
                <w:bCs/>
              </w:rPr>
            </w:pPr>
            <w:r w:rsidRPr="00B90B1C">
              <w:rPr>
                <w:b/>
                <w:bCs/>
              </w:rPr>
              <w:lastRenderedPageBreak/>
              <w:t>Demand/need for smaller dwellings</w:t>
            </w:r>
          </w:p>
        </w:tc>
        <w:tc>
          <w:tcPr>
            <w:tcW w:w="1702"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rsidR="00623832" w:rsidRPr="00B90B1C" w:rsidRDefault="00623832" w:rsidP="00FC4BB9">
            <w:pPr>
              <w:pStyle w:val="BodyText"/>
            </w:pPr>
            <w:r>
              <w:t>Census</w:t>
            </w:r>
            <w:r w:rsidR="00C32039">
              <w:t xml:space="preserve"> 2001/2011</w:t>
            </w:r>
            <w:r>
              <w:t>, CWSS12</w:t>
            </w:r>
          </w:p>
        </w:tc>
        <w:tc>
          <w:tcPr>
            <w:tcW w:w="340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rsidR="00623832" w:rsidRDefault="00623832" w:rsidP="00FC4BB9">
            <w:pPr>
              <w:pStyle w:val="BodyText"/>
              <w:rPr>
                <w:bCs/>
                <w:iCs/>
                <w:color w:val="000000" w:themeColor="text1"/>
                <w:lang w:val="en-US"/>
              </w:rPr>
            </w:pPr>
            <w:r w:rsidRPr="004277B5">
              <w:rPr>
                <w:bCs/>
                <w:iCs/>
                <w:color w:val="000000" w:themeColor="text1"/>
                <w:lang w:val="en-US"/>
              </w:rPr>
              <w:t xml:space="preserve">Census data shows a high proportion of the population living alone (37.5%) compared with the </w:t>
            </w:r>
            <w:r w:rsidR="005F5CF8">
              <w:rPr>
                <w:bCs/>
                <w:iCs/>
                <w:color w:val="000000" w:themeColor="text1"/>
                <w:lang w:val="en-US"/>
              </w:rPr>
              <w:t>District</w:t>
            </w:r>
            <w:r w:rsidRPr="004277B5">
              <w:rPr>
                <w:bCs/>
                <w:iCs/>
                <w:color w:val="000000" w:themeColor="text1"/>
                <w:lang w:val="en-US"/>
              </w:rPr>
              <w:t xml:space="preserve"> </w:t>
            </w:r>
            <w:r w:rsidR="002D0A70">
              <w:rPr>
                <w:bCs/>
                <w:iCs/>
                <w:color w:val="000000" w:themeColor="text1"/>
                <w:lang w:val="en-US"/>
              </w:rPr>
              <w:t xml:space="preserve">as a whole </w:t>
            </w:r>
            <w:r w:rsidRPr="004277B5">
              <w:rPr>
                <w:bCs/>
                <w:iCs/>
                <w:color w:val="000000" w:themeColor="text1"/>
                <w:lang w:val="en-US"/>
              </w:rPr>
              <w:t>(32%); this group has grown substantially over the inter-censual period, recording an increase of 59 households over the period, the majority of whom were under 65</w:t>
            </w:r>
            <w:r>
              <w:rPr>
                <w:bCs/>
                <w:iCs/>
                <w:color w:val="000000" w:themeColor="text1"/>
                <w:lang w:val="en-US"/>
              </w:rPr>
              <w:t xml:space="preserve">. </w:t>
            </w:r>
          </w:p>
          <w:p w:rsidR="00623832" w:rsidRDefault="00623832" w:rsidP="00FC4BB9">
            <w:pPr>
              <w:pStyle w:val="BodyText"/>
              <w:rPr>
                <w:color w:val="000000" w:themeColor="text1"/>
              </w:rPr>
            </w:pPr>
            <w:r>
              <w:rPr>
                <w:color w:val="000000" w:themeColor="text1"/>
              </w:rPr>
              <w:t>4% of households occupy dwellings of 1-3 habitable rooms.</w:t>
            </w:r>
          </w:p>
          <w:p w:rsidR="00623832" w:rsidRDefault="00623832" w:rsidP="00FC4BB9">
            <w:pPr>
              <w:pStyle w:val="BodyText"/>
              <w:rPr>
                <w:color w:val="000000" w:themeColor="text1"/>
              </w:rPr>
            </w:pPr>
            <w:r w:rsidRPr="00670A38">
              <w:rPr>
                <w:color w:val="000000" w:themeColor="text1"/>
              </w:rPr>
              <w:t>In Chichester South, the CWSS12 suggests roughly a third of all new residential development for the open market should be of 1-3 habitable rooms in size</w:t>
            </w:r>
            <w:r>
              <w:rPr>
                <w:color w:val="000000" w:themeColor="text1"/>
              </w:rPr>
              <w:t xml:space="preserve">. </w:t>
            </w:r>
          </w:p>
          <w:p w:rsidR="00623832" w:rsidRPr="004277B5" w:rsidRDefault="00623832" w:rsidP="00FC4BB9">
            <w:pPr>
              <w:pStyle w:val="BodyText"/>
              <w:rPr>
                <w:color w:val="000000" w:themeColor="text1"/>
              </w:rPr>
            </w:pPr>
            <w:r w:rsidRPr="00670A38">
              <w:rPr>
                <w:color w:val="000000" w:themeColor="text1"/>
              </w:rPr>
              <w:t>For affordable homes, the CWSS12 suggests a larger proportion should be concentrated at the smaller end of the scale</w:t>
            </w:r>
            <w:r>
              <w:rPr>
                <w:color w:val="000000" w:themeColor="text1"/>
              </w:rPr>
              <w:t xml:space="preserve"> than for open market dwellings</w:t>
            </w:r>
            <w:r w:rsidRPr="00670A38">
              <w:rPr>
                <w:color w:val="000000" w:themeColor="text1"/>
              </w:rPr>
              <w:t xml:space="preserve">, with 66.8% of all new AH dwellings being 1-3 habitable rooms in size. </w:t>
            </w:r>
          </w:p>
        </w:tc>
        <w:tc>
          <w:tcPr>
            <w:tcW w:w="3119"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rsidR="00623832" w:rsidRDefault="00623832" w:rsidP="00FC4BB9">
            <w:pPr>
              <w:pStyle w:val="BodyText"/>
              <w:rPr>
                <w:color w:val="000000" w:themeColor="text1"/>
              </w:rPr>
            </w:pPr>
            <w:r>
              <w:rPr>
                <w:color w:val="000000" w:themeColor="text1"/>
              </w:rPr>
              <w:t xml:space="preserve">The low proportion of households living in small dwellings </w:t>
            </w:r>
            <w:r w:rsidRPr="00670A38">
              <w:rPr>
                <w:color w:val="000000" w:themeColor="text1"/>
              </w:rPr>
              <w:t>must lead us to query whether the housing stock is suited to community need given</w:t>
            </w:r>
            <w:r>
              <w:rPr>
                <w:color w:val="000000" w:themeColor="text1"/>
              </w:rPr>
              <w:t>, firstly,</w:t>
            </w:r>
            <w:r w:rsidRPr="00670A38">
              <w:rPr>
                <w:color w:val="000000" w:themeColor="text1"/>
              </w:rPr>
              <w:t xml:space="preserve"> the changes that have been observed over the inter-censual period, in particular the </w:t>
            </w:r>
            <w:r>
              <w:rPr>
                <w:color w:val="000000" w:themeColor="text1"/>
              </w:rPr>
              <w:t xml:space="preserve">growth in one person households and, secondly, the affordability issues faced by those on lower incomes. </w:t>
            </w:r>
          </w:p>
          <w:p w:rsidR="00623832" w:rsidRPr="004277B5" w:rsidRDefault="00623832" w:rsidP="00FC4BB9">
            <w:pPr>
              <w:pStyle w:val="BodyText"/>
              <w:rPr>
                <w:color w:val="000000" w:themeColor="text1"/>
              </w:rPr>
            </w:pPr>
            <w:r>
              <w:rPr>
                <w:color w:val="000000" w:themeColor="text1"/>
              </w:rPr>
              <w:t xml:space="preserve">Evidence from the CWSS12 provides clear support for smaller dwellings, and may be used as the justification for developing policy in this direction. </w:t>
            </w:r>
          </w:p>
        </w:tc>
      </w:tr>
      <w:tr w:rsidR="00623832" w:rsidRPr="00B90B1C" w:rsidTr="00FC4BB9">
        <w:tc>
          <w:tcPr>
            <w:tcW w:w="167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rsidR="00623832" w:rsidRPr="00B90B1C" w:rsidRDefault="00623832" w:rsidP="00FC4BB9">
            <w:pPr>
              <w:pStyle w:val="BodyText"/>
              <w:rPr>
                <w:b/>
                <w:bCs/>
              </w:rPr>
            </w:pPr>
            <w:r w:rsidRPr="00B90B1C">
              <w:rPr>
                <w:b/>
                <w:bCs/>
              </w:rPr>
              <w:t>Demographic change</w:t>
            </w:r>
          </w:p>
        </w:tc>
        <w:tc>
          <w:tcPr>
            <w:tcW w:w="1702"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rsidR="00623832" w:rsidRPr="00B90B1C" w:rsidRDefault="00623832" w:rsidP="00FC4BB9">
            <w:pPr>
              <w:pStyle w:val="BodyText"/>
            </w:pPr>
            <w:r>
              <w:t>Census</w:t>
            </w:r>
            <w:r w:rsidR="00C32039">
              <w:t xml:space="preserve"> 2001/2011</w:t>
            </w:r>
          </w:p>
        </w:tc>
        <w:tc>
          <w:tcPr>
            <w:tcW w:w="340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rsidR="00623832" w:rsidRPr="004277B5" w:rsidRDefault="00623832" w:rsidP="00FC4BB9">
            <w:pPr>
              <w:pStyle w:val="BodyText"/>
              <w:rPr>
                <w:bCs/>
                <w:iCs/>
                <w:color w:val="000000" w:themeColor="text1"/>
                <w:lang w:val="en-US"/>
              </w:rPr>
            </w:pPr>
            <w:r w:rsidRPr="004277B5">
              <w:rPr>
                <w:bCs/>
                <w:iCs/>
                <w:color w:val="000000" w:themeColor="text1"/>
                <w:lang w:val="en-US"/>
              </w:rPr>
              <w:t>The 2011 Census identified an under-representation of those aged under 44</w:t>
            </w:r>
            <w:r w:rsidR="005F5CF8">
              <w:rPr>
                <w:bCs/>
                <w:iCs/>
                <w:color w:val="000000" w:themeColor="text1"/>
                <w:lang w:val="en-US"/>
              </w:rPr>
              <w:t xml:space="preserve"> in the NPA</w:t>
            </w:r>
            <w:r w:rsidRPr="004277B5">
              <w:rPr>
                <w:bCs/>
                <w:iCs/>
                <w:color w:val="000000" w:themeColor="text1"/>
                <w:lang w:val="en-US"/>
              </w:rPr>
              <w:t xml:space="preserve">, with large disparities with </w:t>
            </w:r>
            <w:r w:rsidR="005F5CF8">
              <w:rPr>
                <w:bCs/>
                <w:iCs/>
                <w:color w:val="000000" w:themeColor="text1"/>
                <w:lang w:val="en-US"/>
              </w:rPr>
              <w:t>District</w:t>
            </w:r>
            <w:r w:rsidRPr="004277B5">
              <w:rPr>
                <w:bCs/>
                <w:iCs/>
                <w:color w:val="000000" w:themeColor="text1"/>
                <w:lang w:val="en-US"/>
              </w:rPr>
              <w:t xml:space="preserve"> and national geographies</w:t>
            </w:r>
            <w:r>
              <w:rPr>
                <w:bCs/>
                <w:iCs/>
                <w:color w:val="000000" w:themeColor="text1"/>
                <w:lang w:val="en-US"/>
              </w:rPr>
              <w:t>.</w:t>
            </w:r>
          </w:p>
          <w:p w:rsidR="00623832" w:rsidRPr="004277B5" w:rsidRDefault="00623832" w:rsidP="00FC4BB9">
            <w:pPr>
              <w:pStyle w:val="BodyText"/>
              <w:rPr>
                <w:bCs/>
                <w:iCs/>
                <w:color w:val="000000" w:themeColor="text1"/>
                <w:lang w:val="en-US"/>
              </w:rPr>
            </w:pPr>
            <w:r w:rsidRPr="004277B5">
              <w:rPr>
                <w:bCs/>
                <w:iCs/>
                <w:color w:val="000000" w:themeColor="text1"/>
                <w:lang w:val="en-US"/>
              </w:rPr>
              <w:t xml:space="preserve">Over the inter-censual period, the representation of families declined, with the largest fall </w:t>
            </w:r>
            <w:r w:rsidR="00435665">
              <w:rPr>
                <w:bCs/>
                <w:iCs/>
                <w:color w:val="000000" w:themeColor="text1"/>
                <w:lang w:val="en-US"/>
              </w:rPr>
              <w:t xml:space="preserve">being </w:t>
            </w:r>
            <w:r w:rsidRPr="004277B5">
              <w:rPr>
                <w:bCs/>
                <w:iCs/>
                <w:color w:val="000000" w:themeColor="text1"/>
                <w:lang w:val="en-US"/>
              </w:rPr>
              <w:t>those with dependent children (10.2%)</w:t>
            </w:r>
            <w:r>
              <w:rPr>
                <w:bCs/>
                <w:iCs/>
                <w:color w:val="000000" w:themeColor="text1"/>
                <w:lang w:val="en-US"/>
              </w:rPr>
              <w:t>.</w:t>
            </w:r>
          </w:p>
          <w:p w:rsidR="00623832" w:rsidRPr="004277B5" w:rsidRDefault="00623832" w:rsidP="00FC4BB9">
            <w:pPr>
              <w:pStyle w:val="BodyText"/>
              <w:rPr>
                <w:bCs/>
                <w:iCs/>
                <w:color w:val="000000" w:themeColor="text1"/>
                <w:lang w:val="en-US"/>
              </w:rPr>
            </w:pPr>
            <w:r w:rsidRPr="004277B5">
              <w:rPr>
                <w:bCs/>
                <w:iCs/>
                <w:color w:val="000000" w:themeColor="text1"/>
                <w:lang w:val="en-US"/>
              </w:rPr>
              <w:t>42% of residents were aged 65+ at the time of the last Census</w:t>
            </w:r>
            <w:r>
              <w:rPr>
                <w:bCs/>
                <w:iCs/>
                <w:color w:val="000000" w:themeColor="text1"/>
                <w:lang w:val="en-US"/>
              </w:rPr>
              <w:t>.</w:t>
            </w:r>
          </w:p>
          <w:p w:rsidR="00623832" w:rsidRPr="004277B5" w:rsidRDefault="00623832" w:rsidP="00FC4BB9">
            <w:pPr>
              <w:pStyle w:val="BodyText"/>
              <w:rPr>
                <w:bCs/>
                <w:iCs/>
                <w:color w:val="000000" w:themeColor="text1"/>
                <w:lang w:val="en-US"/>
              </w:rPr>
            </w:pPr>
            <w:r w:rsidRPr="004277B5">
              <w:rPr>
                <w:bCs/>
                <w:iCs/>
                <w:color w:val="000000" w:themeColor="text1"/>
                <w:lang w:val="en-US"/>
              </w:rPr>
              <w:t xml:space="preserve">Data for the </w:t>
            </w:r>
            <w:r w:rsidR="005F5CF8">
              <w:rPr>
                <w:bCs/>
                <w:iCs/>
                <w:color w:val="000000" w:themeColor="text1"/>
                <w:lang w:val="en-US"/>
              </w:rPr>
              <w:t>District</w:t>
            </w:r>
            <w:r w:rsidRPr="004277B5">
              <w:rPr>
                <w:bCs/>
                <w:iCs/>
                <w:color w:val="000000" w:themeColor="text1"/>
                <w:lang w:val="en-US"/>
              </w:rPr>
              <w:t xml:space="preserve"> provides a strong indication that the growth in one-person households as a share of the overall population will continue to increase over the Plan period.</w:t>
            </w:r>
          </w:p>
          <w:p w:rsidR="00623832" w:rsidRPr="004277B5" w:rsidRDefault="00623832" w:rsidP="00FC4BB9">
            <w:pPr>
              <w:pStyle w:val="BodyText"/>
              <w:rPr>
                <w:bCs/>
                <w:iCs/>
                <w:color w:val="000000" w:themeColor="text1"/>
                <w:lang w:val="en-US"/>
              </w:rPr>
            </w:pPr>
            <w:r w:rsidRPr="004277B5">
              <w:rPr>
                <w:bCs/>
                <w:iCs/>
                <w:color w:val="000000" w:themeColor="text1"/>
                <w:lang w:val="en-US"/>
              </w:rPr>
              <w:t xml:space="preserve">Using </w:t>
            </w:r>
            <w:r w:rsidR="005F5CF8">
              <w:rPr>
                <w:bCs/>
                <w:iCs/>
                <w:color w:val="000000" w:themeColor="text1"/>
                <w:lang w:val="en-US"/>
              </w:rPr>
              <w:t>District</w:t>
            </w:r>
            <w:r w:rsidRPr="004277B5">
              <w:rPr>
                <w:bCs/>
                <w:iCs/>
                <w:color w:val="000000" w:themeColor="text1"/>
                <w:lang w:val="en-US"/>
              </w:rPr>
              <w:t xml:space="preserve"> level data as a guide to future trends, </w:t>
            </w:r>
            <w:r>
              <w:rPr>
                <w:bCs/>
                <w:iCs/>
                <w:color w:val="000000" w:themeColor="text1"/>
                <w:lang w:val="en-US"/>
              </w:rPr>
              <w:t xml:space="preserve">the </w:t>
            </w:r>
            <w:r w:rsidRPr="004277B5">
              <w:rPr>
                <w:bCs/>
                <w:iCs/>
                <w:color w:val="000000" w:themeColor="text1"/>
                <w:lang w:val="en-US"/>
              </w:rPr>
              <w:t xml:space="preserve">characteristics identified in </w:t>
            </w:r>
            <w:r w:rsidR="00F95859">
              <w:rPr>
                <w:bCs/>
                <w:iCs/>
                <w:color w:val="000000" w:themeColor="text1"/>
                <w:lang w:val="en-US"/>
              </w:rPr>
              <w:t>C</w:t>
            </w:r>
            <w:r w:rsidRPr="004277B5">
              <w:rPr>
                <w:bCs/>
                <w:iCs/>
                <w:color w:val="000000" w:themeColor="text1"/>
                <w:lang w:val="en-US"/>
              </w:rPr>
              <w:t xml:space="preserve">ensus are likely to become more pronounced over the Plan period. </w:t>
            </w:r>
          </w:p>
        </w:tc>
        <w:tc>
          <w:tcPr>
            <w:tcW w:w="3119"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rsidR="00623832" w:rsidRPr="004277B5" w:rsidRDefault="00623832" w:rsidP="00FC4BB9">
            <w:pPr>
              <w:pStyle w:val="BodyText"/>
              <w:rPr>
                <w:color w:val="000000" w:themeColor="text1"/>
              </w:rPr>
            </w:pPr>
            <w:r>
              <w:rPr>
                <w:color w:val="000000" w:themeColor="text1"/>
              </w:rPr>
              <w:t xml:space="preserve">The relatively low number of adults aged under 44, and the fall in families </w:t>
            </w:r>
            <w:r w:rsidRPr="004277B5">
              <w:rPr>
                <w:color w:val="000000" w:themeColor="text1"/>
              </w:rPr>
              <w:t xml:space="preserve">threaten to undermine the vitality and viability of the settlement. If this continues, it is likely to reduce demand for infrastructure targeted at </w:t>
            </w:r>
            <w:r>
              <w:rPr>
                <w:color w:val="000000" w:themeColor="text1"/>
              </w:rPr>
              <w:t>these groups</w:t>
            </w:r>
            <w:r w:rsidRPr="004277B5">
              <w:rPr>
                <w:color w:val="000000" w:themeColor="text1"/>
              </w:rPr>
              <w:t>, for example pr</w:t>
            </w:r>
            <w:r>
              <w:rPr>
                <w:color w:val="000000" w:themeColor="text1"/>
              </w:rPr>
              <w:t>imary schools, as well as businesses and services for the general population.</w:t>
            </w:r>
          </w:p>
        </w:tc>
      </w:tr>
      <w:tr w:rsidR="00623832" w:rsidRPr="00B90B1C" w:rsidTr="00FC4BB9">
        <w:tc>
          <w:tcPr>
            <w:tcW w:w="167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rsidR="00623832" w:rsidRPr="00B90B1C" w:rsidRDefault="00623832" w:rsidP="00FC4BB9">
            <w:pPr>
              <w:pStyle w:val="BodyText"/>
              <w:rPr>
                <w:b/>
                <w:bCs/>
              </w:rPr>
            </w:pPr>
            <w:r w:rsidRPr="00B90B1C">
              <w:rPr>
                <w:b/>
                <w:bCs/>
              </w:rPr>
              <w:t>Dwelling type</w:t>
            </w:r>
          </w:p>
        </w:tc>
        <w:tc>
          <w:tcPr>
            <w:tcW w:w="1702"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rsidR="00623832" w:rsidRPr="00B90B1C" w:rsidRDefault="00623832" w:rsidP="00FC4BB9">
            <w:pPr>
              <w:pStyle w:val="BodyText"/>
            </w:pPr>
            <w:r>
              <w:t>Census</w:t>
            </w:r>
            <w:r w:rsidR="00C32039">
              <w:t xml:space="preserve"> 2001/2011</w:t>
            </w:r>
          </w:p>
        </w:tc>
        <w:tc>
          <w:tcPr>
            <w:tcW w:w="340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rsidR="00623832" w:rsidRPr="004277B5" w:rsidRDefault="00623832" w:rsidP="00FC4BB9">
            <w:pPr>
              <w:pStyle w:val="BodyText"/>
              <w:rPr>
                <w:color w:val="000000" w:themeColor="text1"/>
              </w:rPr>
            </w:pPr>
            <w:r w:rsidRPr="00670A38">
              <w:rPr>
                <w:color w:val="000000" w:themeColor="text1"/>
              </w:rPr>
              <w:t xml:space="preserve">West Wittering shows a clear preponderance of detached dwellings, in contrast to Chichester which shows a more even balance between houses of </w:t>
            </w:r>
            <w:r w:rsidRPr="00670A38">
              <w:rPr>
                <w:color w:val="000000" w:themeColor="text1"/>
              </w:rPr>
              <w:lastRenderedPageBreak/>
              <w:t>different types.</w:t>
            </w:r>
          </w:p>
        </w:tc>
        <w:tc>
          <w:tcPr>
            <w:tcW w:w="3119"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rsidR="00623832" w:rsidRPr="004277B5" w:rsidRDefault="00623832" w:rsidP="00FC4BB9">
            <w:pPr>
              <w:pStyle w:val="BodyText"/>
              <w:rPr>
                <w:color w:val="000000" w:themeColor="text1"/>
              </w:rPr>
            </w:pPr>
            <w:r>
              <w:rPr>
                <w:color w:val="000000" w:themeColor="text1"/>
              </w:rPr>
              <w:lastRenderedPageBreak/>
              <w:t xml:space="preserve">The dominance of detached dwellings is consistent with the finding that the housing market is beyond the reach of many and there </w:t>
            </w:r>
            <w:r>
              <w:rPr>
                <w:color w:val="000000" w:themeColor="text1"/>
              </w:rPr>
              <w:lastRenderedPageBreak/>
              <w:t xml:space="preserve">is a fundamental misalignment between the existing housing stock and the type and size of dwellings required by the community in future years.  </w:t>
            </w:r>
          </w:p>
        </w:tc>
      </w:tr>
      <w:tr w:rsidR="00623832" w:rsidRPr="00B90B1C" w:rsidTr="00FC4BB9">
        <w:tc>
          <w:tcPr>
            <w:tcW w:w="167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rsidR="00623832" w:rsidRPr="00B90B1C" w:rsidRDefault="00623832" w:rsidP="00FC4BB9">
            <w:pPr>
              <w:pStyle w:val="BodyText"/>
              <w:rPr>
                <w:b/>
                <w:bCs/>
              </w:rPr>
            </w:pPr>
            <w:r w:rsidRPr="00B90B1C">
              <w:rPr>
                <w:b/>
                <w:bCs/>
              </w:rPr>
              <w:lastRenderedPageBreak/>
              <w:t>Family-sized housing</w:t>
            </w:r>
          </w:p>
        </w:tc>
        <w:tc>
          <w:tcPr>
            <w:tcW w:w="1702"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rsidR="00623832" w:rsidRPr="00B90B1C" w:rsidRDefault="00623832" w:rsidP="00FC4BB9">
            <w:pPr>
              <w:pStyle w:val="BodyText"/>
            </w:pPr>
            <w:r w:rsidRPr="00670A38">
              <w:rPr>
                <w:color w:val="000000" w:themeColor="text1"/>
              </w:rPr>
              <w:t>CWSS12</w:t>
            </w:r>
          </w:p>
        </w:tc>
        <w:tc>
          <w:tcPr>
            <w:tcW w:w="340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rsidR="00623832" w:rsidRDefault="00623832" w:rsidP="00FC4BB9">
            <w:pPr>
              <w:pStyle w:val="BodyText"/>
              <w:rPr>
                <w:color w:val="000000" w:themeColor="text1"/>
              </w:rPr>
            </w:pPr>
            <w:r w:rsidRPr="00670A38">
              <w:rPr>
                <w:color w:val="000000" w:themeColor="text1"/>
              </w:rPr>
              <w:t xml:space="preserve">In Chichester South, the CWSS12 suggests </w:t>
            </w:r>
            <w:r>
              <w:rPr>
                <w:color w:val="000000" w:themeColor="text1"/>
              </w:rPr>
              <w:t>m</w:t>
            </w:r>
            <w:r w:rsidRPr="00670A38">
              <w:rPr>
                <w:color w:val="000000" w:themeColor="text1"/>
              </w:rPr>
              <w:t>edium sized homes of three bedrooms (4-5 habitable rooms) should c</w:t>
            </w:r>
            <w:r>
              <w:rPr>
                <w:color w:val="000000" w:themeColor="text1"/>
              </w:rPr>
              <w:t>onstitute 48.5% of all market dwellings</w:t>
            </w:r>
            <w:r w:rsidRPr="00670A38">
              <w:rPr>
                <w:color w:val="000000" w:themeColor="text1"/>
              </w:rPr>
              <w:t xml:space="preserve">, and 18.2% should be apportioned to larger </w:t>
            </w:r>
            <w:r>
              <w:rPr>
                <w:color w:val="000000" w:themeColor="text1"/>
              </w:rPr>
              <w:t>homes.</w:t>
            </w:r>
          </w:p>
          <w:p w:rsidR="00623832" w:rsidRPr="004277B5" w:rsidRDefault="00623832" w:rsidP="00FC4BB9">
            <w:pPr>
              <w:pStyle w:val="BodyText"/>
              <w:rPr>
                <w:color w:val="000000" w:themeColor="text1"/>
              </w:rPr>
            </w:pPr>
            <w:r w:rsidRPr="00670A38">
              <w:rPr>
                <w:color w:val="000000" w:themeColor="text1"/>
              </w:rPr>
              <w:t xml:space="preserve">In Chichester South, the CWSS12 suggests 30.1% of </w:t>
            </w:r>
            <w:r>
              <w:rPr>
                <w:color w:val="000000" w:themeColor="text1"/>
              </w:rPr>
              <w:t>affordable homes should be m</w:t>
            </w:r>
            <w:r w:rsidRPr="00670A38">
              <w:rPr>
                <w:color w:val="000000" w:themeColor="text1"/>
              </w:rPr>
              <w:t>edium sized homes of three bedrooms (4-5 habitable rooms), and only 3% of larger size.</w:t>
            </w:r>
          </w:p>
        </w:tc>
        <w:tc>
          <w:tcPr>
            <w:tcW w:w="3119"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rsidR="00623832" w:rsidRPr="004277B5" w:rsidRDefault="00623832" w:rsidP="00FC4BB9">
            <w:pPr>
              <w:pStyle w:val="BodyText"/>
              <w:rPr>
                <w:color w:val="000000" w:themeColor="text1"/>
              </w:rPr>
            </w:pPr>
            <w:r>
              <w:rPr>
                <w:color w:val="000000" w:themeColor="text1"/>
              </w:rPr>
              <w:t xml:space="preserve">There is a strong argument for the provision of family housing within the overall mix. The evidence assembled may be used to justify policy that seeks a balanced community in terms of age, household composition and income group. </w:t>
            </w:r>
          </w:p>
        </w:tc>
      </w:tr>
      <w:tr w:rsidR="00623832" w:rsidRPr="00B90B1C" w:rsidTr="00FC4BB9">
        <w:tc>
          <w:tcPr>
            <w:tcW w:w="167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rsidR="00623832" w:rsidRPr="00B90B1C" w:rsidRDefault="00623832" w:rsidP="00FC4BB9">
            <w:pPr>
              <w:pStyle w:val="BodyText"/>
              <w:rPr>
                <w:b/>
                <w:bCs/>
              </w:rPr>
            </w:pPr>
            <w:r w:rsidRPr="00B90B1C">
              <w:rPr>
                <w:b/>
                <w:bCs/>
              </w:rPr>
              <w:t>Housing for independent living for older people</w:t>
            </w:r>
          </w:p>
        </w:tc>
        <w:tc>
          <w:tcPr>
            <w:tcW w:w="1702"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rsidR="00623832" w:rsidRPr="003F6F7E" w:rsidRDefault="00623832" w:rsidP="00FC4BB9">
            <w:pPr>
              <w:pStyle w:val="BodyText"/>
              <w:rPr>
                <w:bCs/>
              </w:rPr>
            </w:pPr>
            <w:r w:rsidRPr="00670A38">
              <w:rPr>
                <w:color w:val="000000" w:themeColor="text1"/>
              </w:rPr>
              <w:t>CWSS12</w:t>
            </w:r>
            <w:r>
              <w:rPr>
                <w:color w:val="000000" w:themeColor="text1"/>
              </w:rPr>
              <w:t xml:space="preserve">, Census, Housing </w:t>
            </w:r>
            <w:r w:rsidRPr="00A7065F">
              <w:rPr>
                <w:color w:val="000000" w:themeColor="text1"/>
              </w:rPr>
              <w:t>Learning and Improvement Network</w:t>
            </w:r>
          </w:p>
        </w:tc>
        <w:tc>
          <w:tcPr>
            <w:tcW w:w="340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rsidR="00623832" w:rsidRDefault="00623832" w:rsidP="00FC4BB9">
            <w:pPr>
              <w:pStyle w:val="BodyText"/>
              <w:rPr>
                <w:bCs/>
                <w:iCs/>
                <w:color w:val="000000" w:themeColor="text1"/>
                <w:lang w:val="en-US"/>
              </w:rPr>
            </w:pPr>
            <w:r w:rsidRPr="004277B5">
              <w:rPr>
                <w:bCs/>
                <w:iCs/>
                <w:color w:val="000000" w:themeColor="text1"/>
                <w:lang w:val="en-US"/>
              </w:rPr>
              <w:t xml:space="preserve">The </w:t>
            </w:r>
            <w:r w:rsidR="005F5CF8">
              <w:rPr>
                <w:bCs/>
                <w:iCs/>
                <w:color w:val="000000" w:themeColor="text1"/>
                <w:lang w:val="en-US"/>
              </w:rPr>
              <w:t>District</w:t>
            </w:r>
            <w:r w:rsidRPr="004277B5">
              <w:rPr>
                <w:bCs/>
                <w:iCs/>
                <w:color w:val="000000" w:themeColor="text1"/>
                <w:lang w:val="en-US"/>
              </w:rPr>
              <w:t xml:space="preserve"> data shows a substantial increase in the populati</w:t>
            </w:r>
            <w:r>
              <w:rPr>
                <w:bCs/>
                <w:iCs/>
                <w:color w:val="000000" w:themeColor="text1"/>
                <w:lang w:val="en-US"/>
              </w:rPr>
              <w:t xml:space="preserve">on of those aged 65+. </w:t>
            </w:r>
          </w:p>
          <w:p w:rsidR="00623832" w:rsidRPr="004277B5" w:rsidRDefault="00623832" w:rsidP="00C2364D">
            <w:pPr>
              <w:pStyle w:val="BodyText"/>
              <w:rPr>
                <w:bCs/>
                <w:color w:val="000000" w:themeColor="text1"/>
              </w:rPr>
            </w:pPr>
            <w:r>
              <w:rPr>
                <w:bCs/>
                <w:iCs/>
                <w:color w:val="000000" w:themeColor="text1"/>
                <w:lang w:val="en-US"/>
              </w:rPr>
              <w:t>G</w:t>
            </w:r>
            <w:r w:rsidRPr="004277B5">
              <w:rPr>
                <w:bCs/>
                <w:iCs/>
                <w:color w:val="000000" w:themeColor="text1"/>
                <w:lang w:val="en-US"/>
              </w:rPr>
              <w:t xml:space="preserve">iven </w:t>
            </w:r>
            <w:r w:rsidR="00C2364D">
              <w:rPr>
                <w:bCs/>
                <w:iCs/>
                <w:color w:val="000000" w:themeColor="text1"/>
                <w:lang w:val="en-US"/>
              </w:rPr>
              <w:t xml:space="preserve">that </w:t>
            </w:r>
            <w:r w:rsidRPr="004277B5">
              <w:rPr>
                <w:bCs/>
                <w:iCs/>
                <w:color w:val="000000" w:themeColor="text1"/>
                <w:lang w:val="en-US"/>
              </w:rPr>
              <w:t xml:space="preserve">the population of the NPA </w:t>
            </w:r>
            <w:r w:rsidR="00C2364D">
              <w:rPr>
                <w:bCs/>
                <w:iCs/>
                <w:color w:val="000000" w:themeColor="text1"/>
                <w:lang w:val="en-US"/>
              </w:rPr>
              <w:t>is already</w:t>
            </w:r>
            <w:r w:rsidRPr="004277B5">
              <w:rPr>
                <w:bCs/>
                <w:iCs/>
                <w:color w:val="000000" w:themeColor="text1"/>
                <w:lang w:val="en-US"/>
              </w:rPr>
              <w:t xml:space="preserve"> strongly ag</w:t>
            </w:r>
            <w:r w:rsidR="00C2364D">
              <w:rPr>
                <w:bCs/>
                <w:iCs/>
                <w:color w:val="000000" w:themeColor="text1"/>
                <w:lang w:val="en-US"/>
              </w:rPr>
              <w:t>e</w:t>
            </w:r>
            <w:r w:rsidRPr="004277B5">
              <w:rPr>
                <w:bCs/>
                <w:iCs/>
                <w:color w:val="000000" w:themeColor="text1"/>
                <w:lang w:val="en-US"/>
              </w:rPr>
              <w:t xml:space="preserve">ing, a reasonable conclusion would be that trends forecast for the </w:t>
            </w:r>
            <w:r w:rsidR="005F5CF8">
              <w:rPr>
                <w:bCs/>
                <w:iCs/>
                <w:color w:val="000000" w:themeColor="text1"/>
                <w:lang w:val="en-US"/>
              </w:rPr>
              <w:t>District</w:t>
            </w:r>
            <w:r w:rsidRPr="004277B5">
              <w:rPr>
                <w:bCs/>
                <w:iCs/>
                <w:color w:val="000000" w:themeColor="text1"/>
                <w:lang w:val="en-US"/>
              </w:rPr>
              <w:t xml:space="preserve"> are likely to be more extreme in West </w:t>
            </w:r>
            <w:proofErr w:type="spellStart"/>
            <w:r w:rsidRPr="004277B5">
              <w:rPr>
                <w:bCs/>
                <w:iCs/>
                <w:color w:val="000000" w:themeColor="text1"/>
                <w:lang w:val="en-US"/>
              </w:rPr>
              <w:t>Wittering</w:t>
            </w:r>
            <w:proofErr w:type="spellEnd"/>
            <w:r w:rsidRPr="004277B5">
              <w:rPr>
                <w:bCs/>
                <w:iCs/>
                <w:color w:val="000000" w:themeColor="text1"/>
                <w:lang w:val="en-US"/>
              </w:rPr>
              <w:t>.</w:t>
            </w:r>
          </w:p>
        </w:tc>
        <w:tc>
          <w:tcPr>
            <w:tcW w:w="3119"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rsidR="00623832" w:rsidRPr="00C0690C" w:rsidRDefault="00623832" w:rsidP="00FC4BB9">
            <w:pPr>
              <w:pStyle w:val="BodyText"/>
              <w:rPr>
                <w:color w:val="000000" w:themeColor="text1"/>
                <w:lang w:val="en-US"/>
              </w:rPr>
            </w:pPr>
            <w:r>
              <w:rPr>
                <w:color w:val="000000" w:themeColor="text1"/>
                <w:lang w:val="en-US"/>
              </w:rPr>
              <w:t>Using the H</w:t>
            </w:r>
            <w:r w:rsidRPr="00C0690C">
              <w:rPr>
                <w:color w:val="000000" w:themeColor="text1"/>
                <w:lang w:val="en-US"/>
              </w:rPr>
              <w:t>ousing LIN</w:t>
            </w:r>
            <w:r w:rsidR="006E3705">
              <w:rPr>
                <w:rStyle w:val="FootnoteReference"/>
                <w:lang w:val="en-US"/>
              </w:rPr>
              <w:footnoteReference w:id="5"/>
            </w:r>
            <w:r w:rsidR="006E3705">
              <w:rPr>
                <w:color w:val="000000" w:themeColor="text1"/>
                <w:lang w:val="en-US"/>
              </w:rPr>
              <w:t xml:space="preserve"> </w:t>
            </w:r>
            <w:r w:rsidRPr="00C0690C">
              <w:rPr>
                <w:color w:val="000000" w:themeColor="text1"/>
                <w:lang w:val="en-US"/>
              </w:rPr>
              <w:t xml:space="preserve">approach, over the Plan period, this HNA has identified a need in the </w:t>
            </w:r>
            <w:r w:rsidR="005F5CF8">
              <w:rPr>
                <w:color w:val="000000" w:themeColor="text1"/>
                <w:lang w:val="en-US"/>
              </w:rPr>
              <w:t>Parish</w:t>
            </w:r>
            <w:r w:rsidRPr="00C0690C">
              <w:rPr>
                <w:color w:val="000000" w:themeColor="text1"/>
                <w:lang w:val="en-US"/>
              </w:rPr>
              <w:t xml:space="preserve"> for: </w:t>
            </w:r>
          </w:p>
          <w:p w:rsidR="00623832" w:rsidRPr="00C0690C" w:rsidRDefault="00623832" w:rsidP="00FC4BB9">
            <w:pPr>
              <w:pStyle w:val="BodyText"/>
              <w:rPr>
                <w:color w:val="000000" w:themeColor="text1"/>
                <w:lang w:val="en-US"/>
              </w:rPr>
            </w:pPr>
            <w:r w:rsidRPr="00C0690C">
              <w:rPr>
                <w:color w:val="000000" w:themeColor="text1"/>
                <w:lang w:val="en-US"/>
              </w:rPr>
              <w:t>10 additional conventional sheltered housing units</w:t>
            </w:r>
          </w:p>
          <w:p w:rsidR="00623832" w:rsidRPr="00C0690C" w:rsidRDefault="00623832" w:rsidP="00FC4BB9">
            <w:pPr>
              <w:pStyle w:val="BodyText"/>
              <w:rPr>
                <w:color w:val="000000" w:themeColor="text1"/>
                <w:lang w:val="en-US"/>
              </w:rPr>
            </w:pPr>
            <w:r w:rsidRPr="00C0690C">
              <w:rPr>
                <w:color w:val="000000" w:themeColor="text1"/>
                <w:lang w:val="en-US"/>
              </w:rPr>
              <w:t>20 additional leasehold sheltered housing units</w:t>
            </w:r>
          </w:p>
          <w:p w:rsidR="00623832" w:rsidRPr="00C0690C" w:rsidRDefault="00623832" w:rsidP="00FC4BB9">
            <w:pPr>
              <w:pStyle w:val="BodyText"/>
              <w:rPr>
                <w:color w:val="000000" w:themeColor="text1"/>
                <w:lang w:val="en-US"/>
              </w:rPr>
            </w:pPr>
            <w:r w:rsidRPr="00C0690C">
              <w:rPr>
                <w:color w:val="000000" w:themeColor="text1"/>
                <w:lang w:val="en-US"/>
              </w:rPr>
              <w:t>4 additional ‘enhanced’ sheltered units, split 50:50 between those for rent and those for sale</w:t>
            </w:r>
          </w:p>
          <w:p w:rsidR="00623832" w:rsidRPr="00C0690C" w:rsidRDefault="00623832" w:rsidP="00FC4BB9">
            <w:pPr>
              <w:pStyle w:val="BodyText"/>
              <w:rPr>
                <w:color w:val="000000" w:themeColor="text1"/>
                <w:lang w:val="en-US"/>
              </w:rPr>
            </w:pPr>
            <w:r w:rsidRPr="00C0690C">
              <w:rPr>
                <w:color w:val="000000" w:themeColor="text1"/>
                <w:lang w:val="en-US"/>
              </w:rPr>
              <w:t>3 additional extra care housing units for rent</w:t>
            </w:r>
          </w:p>
          <w:p w:rsidR="00623832" w:rsidRPr="00C0690C" w:rsidRDefault="00623832" w:rsidP="00FC4BB9">
            <w:pPr>
              <w:pStyle w:val="BodyText"/>
              <w:rPr>
                <w:color w:val="000000" w:themeColor="text1"/>
                <w:lang w:val="en-US"/>
              </w:rPr>
            </w:pPr>
            <w:r w:rsidRPr="00C0690C">
              <w:rPr>
                <w:color w:val="000000" w:themeColor="text1"/>
                <w:lang w:val="en-US"/>
              </w:rPr>
              <w:t>6 additional extra care housing units for sale</w:t>
            </w:r>
          </w:p>
          <w:p w:rsidR="00623832" w:rsidRDefault="00623832" w:rsidP="00FC4BB9">
            <w:pPr>
              <w:pStyle w:val="BodyText"/>
              <w:rPr>
                <w:color w:val="000000" w:themeColor="text1"/>
                <w:lang w:val="en-US"/>
              </w:rPr>
            </w:pPr>
            <w:r w:rsidRPr="00C0690C">
              <w:rPr>
                <w:color w:val="000000" w:themeColor="text1"/>
                <w:lang w:val="en-US"/>
              </w:rPr>
              <w:t>1 additional specialist dementia care home</w:t>
            </w:r>
          </w:p>
          <w:p w:rsidR="00623832" w:rsidRPr="004277B5" w:rsidRDefault="00623832" w:rsidP="00FC4BB9">
            <w:pPr>
              <w:pStyle w:val="BodyText"/>
              <w:rPr>
                <w:color w:val="000000" w:themeColor="text1"/>
                <w:lang w:val="en-US"/>
              </w:rPr>
            </w:pPr>
            <w:r>
              <w:rPr>
                <w:color w:val="000000" w:themeColor="text1"/>
                <w:lang w:val="en-US"/>
              </w:rPr>
              <w:t xml:space="preserve">There is no obligation on the </w:t>
            </w:r>
            <w:r w:rsidR="005F5CF8">
              <w:rPr>
                <w:color w:val="000000" w:themeColor="text1"/>
                <w:lang w:val="en-US"/>
              </w:rPr>
              <w:t>Parish</w:t>
            </w:r>
            <w:r>
              <w:rPr>
                <w:color w:val="000000" w:themeColor="text1"/>
                <w:lang w:val="en-US"/>
              </w:rPr>
              <w:t xml:space="preserve"> to satisfy the need for 44 specialist dwellings for the elderly, and they may be </w:t>
            </w:r>
            <w:r w:rsidR="00267154">
              <w:rPr>
                <w:color w:val="000000" w:themeColor="text1"/>
                <w:lang w:val="en-US"/>
              </w:rPr>
              <w:t xml:space="preserve">better provided </w:t>
            </w:r>
            <w:proofErr w:type="gramStart"/>
            <w:r w:rsidR="00267154">
              <w:rPr>
                <w:color w:val="000000" w:themeColor="text1"/>
                <w:lang w:val="en-US"/>
              </w:rPr>
              <w:t xml:space="preserve">at </w:t>
            </w:r>
            <w:r>
              <w:rPr>
                <w:color w:val="000000" w:themeColor="text1"/>
                <w:lang w:val="en-US"/>
              </w:rPr>
              <w:t xml:space="preserve"> settlements</w:t>
            </w:r>
            <w:proofErr w:type="gramEnd"/>
            <w:r>
              <w:rPr>
                <w:color w:val="000000" w:themeColor="text1"/>
                <w:lang w:val="en-US"/>
              </w:rPr>
              <w:t xml:space="preserve"> that can provide better access to services</w:t>
            </w:r>
            <w:r w:rsidR="00267154">
              <w:rPr>
                <w:color w:val="000000" w:themeColor="text1"/>
                <w:lang w:val="en-US"/>
              </w:rPr>
              <w:t>; however, the need should be borne in mind in formulating the plan’s housing policies.</w:t>
            </w:r>
            <w:r>
              <w:rPr>
                <w:color w:val="000000" w:themeColor="text1"/>
                <w:lang w:val="en-US"/>
              </w:rPr>
              <w:t xml:space="preserve"> </w:t>
            </w:r>
          </w:p>
        </w:tc>
      </w:tr>
    </w:tbl>
    <w:p w:rsidR="00623832" w:rsidRPr="00B90B1C" w:rsidRDefault="00623832" w:rsidP="00623832">
      <w:pPr>
        <w:pStyle w:val="BodyText"/>
        <w:rPr>
          <w:b/>
          <w:lang w:val="en-US"/>
        </w:rPr>
      </w:pPr>
    </w:p>
    <w:p w:rsidR="00623832" w:rsidRPr="00B90B1C" w:rsidRDefault="00623832" w:rsidP="00623832">
      <w:pPr>
        <w:pStyle w:val="BodyText"/>
        <w:rPr>
          <w:b/>
          <w:lang w:val="en-US"/>
        </w:rPr>
      </w:pPr>
    </w:p>
    <w:p w:rsidR="00E80CC8" w:rsidRPr="00E80CC8" w:rsidRDefault="00E80CC8" w:rsidP="00BE0DA4">
      <w:pPr>
        <w:pStyle w:val="Figure"/>
      </w:pPr>
      <w:r w:rsidRPr="00E80CC8">
        <w:lastRenderedPageBreak/>
        <w:br w:type="page"/>
      </w:r>
    </w:p>
    <w:p w:rsidR="00E80CC8" w:rsidRPr="00E80CC8" w:rsidRDefault="00E80CC8" w:rsidP="008D11A6">
      <w:pPr>
        <w:pStyle w:val="Caption"/>
        <w:rPr>
          <w:lang w:val="en-US"/>
        </w:rPr>
      </w:pPr>
      <w:r w:rsidRPr="00E80CC8">
        <w:rPr>
          <w:lang w:val="en-US"/>
        </w:rPr>
        <w:lastRenderedPageBreak/>
        <w:t>Recommendations for next steps</w:t>
      </w:r>
    </w:p>
    <w:p w:rsidR="000C7B46" w:rsidRPr="000C7B46" w:rsidRDefault="000C7B46" w:rsidP="000C7B46">
      <w:pPr>
        <w:pStyle w:val="ListNumber"/>
        <w:rPr>
          <w:lang w:val="en-US"/>
        </w:rPr>
      </w:pPr>
      <w:r w:rsidRPr="000C7B46">
        <w:rPr>
          <w:lang w:val="en-US"/>
        </w:rPr>
        <w:t xml:space="preserve">This neighbourhood plan housing needs advice has aimed to provide WWPC with evidence on housing trends from a range of sources. We recommend that the </w:t>
      </w:r>
      <w:r w:rsidR="005F5CF8">
        <w:rPr>
          <w:lang w:val="en-US"/>
        </w:rPr>
        <w:t>Parish</w:t>
      </w:r>
      <w:r w:rsidRPr="000C7B46">
        <w:rPr>
          <w:lang w:val="en-US"/>
        </w:rPr>
        <w:t xml:space="preserve"> should, as a next step, discuss the contents and conclusions with CDC with a view to agreeing and formulating draft housing policies, in particular the appropriate approach to identifying the level of </w:t>
      </w:r>
      <w:r w:rsidR="00C55AF9">
        <w:rPr>
          <w:lang w:val="en-US"/>
        </w:rPr>
        <w:t xml:space="preserve">new housing </w:t>
      </w:r>
      <w:r w:rsidRPr="000C7B46">
        <w:rPr>
          <w:lang w:val="en-US"/>
        </w:rPr>
        <w:t>need in the NP area, bearing the following in mind:</w:t>
      </w:r>
    </w:p>
    <w:p w:rsidR="000C7B46" w:rsidRPr="000C7B46" w:rsidRDefault="000C7B46" w:rsidP="000C7B46">
      <w:pPr>
        <w:pStyle w:val="ListNumber"/>
        <w:numPr>
          <w:ilvl w:val="0"/>
          <w:numId w:val="36"/>
        </w:numPr>
      </w:pPr>
      <w:r w:rsidRPr="000C7B46">
        <w:t>Neighbourhood Planning Basic Condition A, that it has regard to national policies and advice contained in guidance issued by the Secretary of State; Condition D, that the making of the neighbourhood plan contributes to the achievement of sustainable development; and Condition E, which is the need for the neighbourhood plan to be in general conformity with the adopted strategic development plan;</w:t>
      </w:r>
    </w:p>
    <w:p w:rsidR="000C7B46" w:rsidRPr="000C7B46" w:rsidRDefault="000C7B46" w:rsidP="000C7B46">
      <w:pPr>
        <w:pStyle w:val="ListBullet"/>
      </w:pPr>
      <w:r w:rsidRPr="000C7B46">
        <w:t>the views of CDC – in particular in relation to the housing need figure that should be adopted;</w:t>
      </w:r>
    </w:p>
    <w:p w:rsidR="000C7B46" w:rsidRPr="000C7B46" w:rsidRDefault="000C7B46" w:rsidP="000C7B46">
      <w:pPr>
        <w:pStyle w:val="ListBullet"/>
      </w:pPr>
      <w:r w:rsidRPr="000C7B46">
        <w:t>the views of local residents;</w:t>
      </w:r>
    </w:p>
    <w:p w:rsidR="000C7B46" w:rsidRPr="000C7B46" w:rsidRDefault="000C7B46" w:rsidP="000C7B46">
      <w:pPr>
        <w:pStyle w:val="ListBullet"/>
      </w:pPr>
      <w:r w:rsidRPr="000C7B46">
        <w:t xml:space="preserve">the views of other relevant local stakeholders, including housing developers; </w:t>
      </w:r>
    </w:p>
    <w:p w:rsidR="000C7B46" w:rsidRPr="000C7B46" w:rsidRDefault="000C7B46" w:rsidP="000C7B46">
      <w:pPr>
        <w:pStyle w:val="ListBullet"/>
      </w:pPr>
      <w:r w:rsidRPr="000C7B46">
        <w:t>the numerous supply-side considerations, including local environmental constraints, the location and characteristics of suitable land, and any capacity work carried out by the CDC, including but not limited to the SHLAA</w:t>
      </w:r>
      <w:r w:rsidR="00C55AF9">
        <w:t>;</w:t>
      </w:r>
    </w:p>
    <w:p w:rsidR="000C7B46" w:rsidRPr="000C7B46" w:rsidRDefault="000C7B46" w:rsidP="000C7B46">
      <w:pPr>
        <w:pStyle w:val="ListBullet"/>
      </w:pPr>
      <w:r w:rsidRPr="000C7B46">
        <w:t>the recommendations and findings of this study; and</w:t>
      </w:r>
    </w:p>
    <w:p w:rsidR="000C7B46" w:rsidRPr="000C7B46" w:rsidRDefault="00C55AF9" w:rsidP="000C7B46">
      <w:pPr>
        <w:pStyle w:val="ListBullet"/>
      </w:pPr>
      <w:proofErr w:type="gramStart"/>
      <w:r>
        <w:t>t</w:t>
      </w:r>
      <w:r w:rsidR="000C7B46" w:rsidRPr="000C7B46">
        <w:t>he</w:t>
      </w:r>
      <w:proofErr w:type="gramEnd"/>
      <w:r w:rsidR="000C7B46" w:rsidRPr="000C7B46">
        <w:t xml:space="preserve"> impact of the new Government proposed standard methodology on calculating housing need </w:t>
      </w:r>
      <w:r>
        <w:t>for</w:t>
      </w:r>
      <w:r w:rsidRPr="000C7B46">
        <w:t xml:space="preserve"> </w:t>
      </w:r>
      <w:r w:rsidR="000C7B46" w:rsidRPr="000C7B46">
        <w:t xml:space="preserve">the </w:t>
      </w:r>
      <w:r w:rsidR="005F5CF8">
        <w:t>District</w:t>
      </w:r>
      <w:r w:rsidR="000C7B46" w:rsidRPr="000C7B46">
        <w:t xml:space="preserve"> and its neighbourhoods.</w:t>
      </w:r>
    </w:p>
    <w:p w:rsidR="000C7B46" w:rsidRPr="000C7B46" w:rsidRDefault="000C7B46" w:rsidP="000C7B46">
      <w:pPr>
        <w:pStyle w:val="ListNumber"/>
        <w:rPr>
          <w:lang w:val="en-US"/>
        </w:rPr>
      </w:pPr>
      <w:r w:rsidRPr="000C7B46">
        <w:rPr>
          <w:lang w:val="en-US"/>
        </w:rPr>
        <w:t>Recent changes to the planning system, forthcoming changes to the NPPF, as well as the implementation of the Housing and Planning Act, will continue to affect housing policies at a local authority and, by extension, a neighbourhood level.</w:t>
      </w:r>
    </w:p>
    <w:p w:rsidR="000C7B46" w:rsidRPr="000C7B46" w:rsidRDefault="000C7B46" w:rsidP="000C7B46">
      <w:pPr>
        <w:pStyle w:val="ListNumber"/>
        <w:rPr>
          <w:lang w:val="en-US"/>
        </w:rPr>
      </w:pPr>
      <w:r w:rsidRPr="000C7B46">
        <w:rPr>
          <w:lang w:val="en-US"/>
        </w:rPr>
        <w:t>This advice note has been provided in good faith by AECOM on the basis of housing data and national guidance current at the time of writing (alongside other relevant and available information).</w:t>
      </w:r>
    </w:p>
    <w:p w:rsidR="000C7B46" w:rsidRPr="000C7B46" w:rsidRDefault="000C7B46" w:rsidP="000C7B46">
      <w:pPr>
        <w:pStyle w:val="ListNumber"/>
        <w:rPr>
          <w:lang w:val="en-US"/>
        </w:rPr>
      </w:pPr>
      <w:r w:rsidRPr="000C7B46">
        <w:rPr>
          <w:lang w:val="en-US"/>
        </w:rPr>
        <w:t xml:space="preserve">Bearing this in mind, we recommend that the steering group should monitor carefully strategies and documents with an impact on housing policy produced by the LPA or any other relevant body and review the neighbourhood plan accordingly to ensure that general conformity is maintained. </w:t>
      </w:r>
    </w:p>
    <w:p w:rsidR="00E80CC8" w:rsidRPr="00E80CC8" w:rsidRDefault="000C7B46" w:rsidP="009144D7">
      <w:pPr>
        <w:pStyle w:val="ListNumber"/>
        <w:rPr>
          <w:sz w:val="22"/>
          <w:szCs w:val="22"/>
          <w:lang w:val="en-US"/>
        </w:rPr>
      </w:pPr>
      <w:r w:rsidRPr="000C7B46">
        <w:rPr>
          <w:lang w:val="en-US"/>
        </w:rPr>
        <w:t xml:space="preserve">At the same time, monitoring on-going demographic or other trends over the period in which the neighbourhood plan is being developed (factors summarised in Table 1) would help ensure </w:t>
      </w:r>
      <w:r w:rsidR="00C55AF9">
        <w:rPr>
          <w:lang w:val="en-US"/>
        </w:rPr>
        <w:t xml:space="preserve">the </w:t>
      </w:r>
      <w:r w:rsidRPr="000C7B46">
        <w:rPr>
          <w:lang w:val="en-US"/>
        </w:rPr>
        <w:t>relevance and credibility of its policies.</w:t>
      </w:r>
    </w:p>
    <w:p w:rsidR="000C7B46" w:rsidRDefault="000C7B46">
      <w:pPr>
        <w:tabs>
          <w:tab w:val="clear" w:pos="284"/>
        </w:tabs>
        <w:spacing w:line="240" w:lineRule="auto"/>
        <w:rPr>
          <w:rFonts w:asciiTheme="majorHAnsi" w:eastAsiaTheme="majorEastAsia" w:hAnsiTheme="majorHAnsi" w:cstheme="majorBidi"/>
          <w:b/>
          <w:bCs/>
          <w:color w:val="00B5E2" w:themeColor="accent1"/>
          <w:sz w:val="30"/>
          <w:szCs w:val="28"/>
          <w:lang w:val="en-US"/>
        </w:rPr>
      </w:pPr>
      <w:r>
        <w:rPr>
          <w:lang w:val="en-US"/>
        </w:rPr>
        <w:br w:type="page"/>
      </w:r>
    </w:p>
    <w:p w:rsidR="00E80CC8" w:rsidRPr="009925FE" w:rsidRDefault="00E80CC8" w:rsidP="00E80CC8">
      <w:pPr>
        <w:pStyle w:val="Heading1"/>
        <w:rPr>
          <w:lang w:val="en-US"/>
        </w:rPr>
      </w:pPr>
      <w:bookmarkStart w:id="62" w:name="_Toc504464718"/>
      <w:r w:rsidRPr="00E80CC8">
        <w:rPr>
          <w:lang w:val="en-US"/>
        </w:rPr>
        <w:lastRenderedPageBreak/>
        <w:t>Context</w:t>
      </w:r>
      <w:bookmarkStart w:id="63" w:name="_Toc425332010"/>
      <w:bookmarkStart w:id="64" w:name="_Toc461696212"/>
      <w:bookmarkEnd w:id="62"/>
    </w:p>
    <w:p w:rsidR="00FC4BB9" w:rsidRPr="00FC4BB9" w:rsidRDefault="00FC4BB9" w:rsidP="00FC4BB9">
      <w:pPr>
        <w:pStyle w:val="ListNumber"/>
        <w:rPr>
          <w:lang w:val="en-US"/>
        </w:rPr>
      </w:pPr>
      <w:r w:rsidRPr="0041485F">
        <w:rPr>
          <w:lang w:val="en-US"/>
        </w:rPr>
        <w:t xml:space="preserve">West </w:t>
      </w:r>
      <w:proofErr w:type="spellStart"/>
      <w:r w:rsidRPr="0041485F">
        <w:rPr>
          <w:lang w:val="en-US"/>
        </w:rPr>
        <w:t>Wittering</w:t>
      </w:r>
      <w:proofErr w:type="spellEnd"/>
      <w:r w:rsidRPr="0041485F">
        <w:rPr>
          <w:lang w:val="en-US"/>
        </w:rPr>
        <w:t xml:space="preserve"> is a village and civil </w:t>
      </w:r>
      <w:r w:rsidR="005F5CF8">
        <w:rPr>
          <w:lang w:val="en-US"/>
        </w:rPr>
        <w:t>Parish</w:t>
      </w:r>
      <w:r w:rsidRPr="0041485F">
        <w:rPr>
          <w:lang w:val="en-US"/>
        </w:rPr>
        <w:t xml:space="preserve"> sitting within the </w:t>
      </w:r>
      <w:proofErr w:type="spellStart"/>
      <w:r w:rsidRPr="0041485F">
        <w:rPr>
          <w:lang w:val="en-US"/>
        </w:rPr>
        <w:t>Chichester</w:t>
      </w:r>
      <w:proofErr w:type="spellEnd"/>
      <w:r w:rsidRPr="0041485F">
        <w:rPr>
          <w:lang w:val="en-US"/>
        </w:rPr>
        <w:t xml:space="preserve"> </w:t>
      </w:r>
      <w:r w:rsidR="005F5CF8">
        <w:rPr>
          <w:lang w:val="en-US"/>
        </w:rPr>
        <w:t>District</w:t>
      </w:r>
      <w:r w:rsidRPr="0041485F">
        <w:rPr>
          <w:lang w:val="en-US"/>
        </w:rPr>
        <w:t xml:space="preserve"> of West Sussex</w:t>
      </w:r>
      <w:r>
        <w:rPr>
          <w:lang w:val="en-US"/>
        </w:rPr>
        <w:t xml:space="preserve">, situated </w:t>
      </w:r>
      <w:r w:rsidR="003B3A0E">
        <w:rPr>
          <w:lang w:val="en-US"/>
        </w:rPr>
        <w:t xml:space="preserve">nine </w:t>
      </w:r>
      <w:r>
        <w:rPr>
          <w:lang w:val="en-US"/>
        </w:rPr>
        <w:t xml:space="preserve">miles south-west of </w:t>
      </w:r>
      <w:proofErr w:type="spellStart"/>
      <w:r>
        <w:rPr>
          <w:lang w:val="en-US"/>
        </w:rPr>
        <w:t>Chichester</w:t>
      </w:r>
      <w:proofErr w:type="spellEnd"/>
      <w:r>
        <w:rPr>
          <w:lang w:val="en-US"/>
        </w:rPr>
        <w:t xml:space="preserve"> and approximately 30 minutes by car to Portsmouth. </w:t>
      </w:r>
      <w:r w:rsidRPr="00E3530D">
        <w:rPr>
          <w:lang w:val="en-US"/>
        </w:rPr>
        <w:t xml:space="preserve">It lies near the mouth of </w:t>
      </w:r>
      <w:proofErr w:type="spellStart"/>
      <w:r w:rsidRPr="00E3530D">
        <w:rPr>
          <w:lang w:val="en-US"/>
        </w:rPr>
        <w:t>Chichester</w:t>
      </w:r>
      <w:proofErr w:type="spellEnd"/>
      <w:r w:rsidRPr="00E3530D">
        <w:rPr>
          <w:lang w:val="en-US"/>
        </w:rPr>
        <w:t xml:space="preserve"> </w:t>
      </w:r>
      <w:proofErr w:type="spellStart"/>
      <w:r w:rsidRPr="00E3530D">
        <w:rPr>
          <w:lang w:val="en-US"/>
        </w:rPr>
        <w:t>Harbour</w:t>
      </w:r>
      <w:proofErr w:type="spellEnd"/>
      <w:r w:rsidRPr="00E3530D">
        <w:rPr>
          <w:lang w:val="en-US"/>
        </w:rPr>
        <w:t xml:space="preserve"> </w:t>
      </w:r>
      <w:r>
        <w:rPr>
          <w:lang w:val="en-US"/>
        </w:rPr>
        <w:t xml:space="preserve">and is bordered by the famous West </w:t>
      </w:r>
      <w:proofErr w:type="spellStart"/>
      <w:r>
        <w:rPr>
          <w:lang w:val="en-US"/>
        </w:rPr>
        <w:t>Wittering</w:t>
      </w:r>
      <w:proofErr w:type="spellEnd"/>
      <w:r>
        <w:rPr>
          <w:lang w:val="en-US"/>
        </w:rPr>
        <w:t xml:space="preserve"> sandy beach to the south. The</w:t>
      </w:r>
      <w:r w:rsidRPr="00DB3249">
        <w:rPr>
          <w:lang w:val="en-US"/>
        </w:rPr>
        <w:t xml:space="preserve"> </w:t>
      </w:r>
      <w:r w:rsidRPr="00E3530D">
        <w:rPr>
          <w:lang w:val="en-US"/>
        </w:rPr>
        <w:t>B2179 road</w:t>
      </w:r>
      <w:r>
        <w:rPr>
          <w:lang w:val="en-US"/>
        </w:rPr>
        <w:t xml:space="preserve"> runs from north to south of the village and connects it to the A286 road. </w:t>
      </w:r>
      <w:r w:rsidR="00B25544">
        <w:rPr>
          <w:lang w:val="en-US"/>
        </w:rPr>
        <w:fldChar w:fldCharType="begin"/>
      </w:r>
      <w:r w:rsidR="00B25544">
        <w:rPr>
          <w:lang w:val="en-US"/>
        </w:rPr>
        <w:instrText xml:space="preserve"> REF _Ref504464963 \h </w:instrText>
      </w:r>
      <w:r w:rsidR="00B25544">
        <w:rPr>
          <w:lang w:val="en-US"/>
        </w:rPr>
      </w:r>
      <w:r w:rsidR="00B25544">
        <w:rPr>
          <w:lang w:val="en-US"/>
        </w:rPr>
        <w:fldChar w:fldCharType="separate"/>
      </w:r>
      <w:r w:rsidR="00B25544">
        <w:t xml:space="preserve">Figure </w:t>
      </w:r>
      <w:r w:rsidR="00B25544">
        <w:rPr>
          <w:noProof/>
        </w:rPr>
        <w:t>2</w:t>
      </w:r>
      <w:r w:rsidR="00B25544">
        <w:rPr>
          <w:lang w:val="en-US"/>
        </w:rPr>
        <w:fldChar w:fldCharType="end"/>
      </w:r>
      <w:r>
        <w:rPr>
          <w:lang w:val="en-US"/>
        </w:rPr>
        <w:t xml:space="preserve"> </w:t>
      </w:r>
      <w:r w:rsidRPr="00FC4BB9">
        <w:rPr>
          <w:lang w:val="en-US"/>
        </w:rPr>
        <w:t xml:space="preserve">presents the </w:t>
      </w:r>
      <w:proofErr w:type="spellStart"/>
      <w:r w:rsidRPr="00FC4BB9">
        <w:rPr>
          <w:lang w:val="en-US"/>
        </w:rPr>
        <w:t>neighbourhood</w:t>
      </w:r>
      <w:proofErr w:type="spellEnd"/>
      <w:r w:rsidRPr="00FC4BB9">
        <w:rPr>
          <w:lang w:val="en-US"/>
        </w:rPr>
        <w:t xml:space="preserve"> plan area boundaries.</w:t>
      </w:r>
    </w:p>
    <w:p w:rsidR="00FC4BB9" w:rsidRDefault="00FC4BB9" w:rsidP="00FC4BB9">
      <w:pPr>
        <w:pStyle w:val="Caption"/>
      </w:pPr>
      <w:bookmarkStart w:id="65" w:name="_Ref504464963"/>
      <w:bookmarkStart w:id="66" w:name="_Ref504464949"/>
      <w:r>
        <w:t xml:space="preserve">Figure </w:t>
      </w:r>
      <w:fldSimple w:instr=" SEQ Figure \* ARABIC ">
        <w:r w:rsidR="00A258B5">
          <w:rPr>
            <w:noProof/>
          </w:rPr>
          <w:t>2</w:t>
        </w:r>
      </w:fldSimple>
      <w:bookmarkEnd w:id="65"/>
      <w:r>
        <w:t xml:space="preserve">: </w:t>
      </w:r>
      <w:r w:rsidRPr="00F629B6">
        <w:t xml:space="preserve">West Wittering </w:t>
      </w:r>
      <w:r w:rsidR="005F5CF8">
        <w:t>Parish</w:t>
      </w:r>
      <w:r w:rsidRPr="00F629B6">
        <w:t xml:space="preserve"> Council Neighbourhood Plan Area</w:t>
      </w:r>
      <w:bookmarkEnd w:id="66"/>
    </w:p>
    <w:p w:rsidR="00FC4BB9" w:rsidRDefault="00FC4BB9" w:rsidP="00FC4BB9">
      <w:pPr>
        <w:pStyle w:val="BodyText"/>
        <w:rPr>
          <w:b/>
          <w:color w:val="FF0000"/>
          <w:lang w:val="en-US"/>
        </w:rPr>
      </w:pPr>
      <w:r>
        <w:rPr>
          <w:noProof/>
          <w:lang w:eastAsia="en-GB"/>
        </w:rPr>
        <w:drawing>
          <wp:inline distT="0" distB="0" distL="0" distR="0" wp14:anchorId="06828BA8" wp14:editId="59345E02">
            <wp:extent cx="5731510" cy="4053696"/>
            <wp:effectExtent l="0" t="0" r="2540" b="444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5731510" cy="4053696"/>
                    </a:xfrm>
                    <a:prstGeom prst="rect">
                      <a:avLst/>
                    </a:prstGeom>
                  </pic:spPr>
                </pic:pic>
              </a:graphicData>
            </a:graphic>
          </wp:inline>
        </w:drawing>
      </w:r>
    </w:p>
    <w:p w:rsidR="00FC4BB9" w:rsidRPr="00FC4BB9" w:rsidRDefault="00FC4BB9" w:rsidP="00FC4BB9">
      <w:pPr>
        <w:pStyle w:val="Source"/>
        <w:rPr>
          <w:lang w:val="en-US"/>
        </w:rPr>
      </w:pPr>
      <w:r>
        <w:rPr>
          <w:lang w:val="en-US"/>
        </w:rPr>
        <w:t>Source: CDC</w:t>
      </w:r>
    </w:p>
    <w:p w:rsidR="00FC4BB9" w:rsidRPr="00E80CC8" w:rsidRDefault="00FC4BB9" w:rsidP="00FC4BB9">
      <w:pPr>
        <w:pStyle w:val="Heading2"/>
        <w:rPr>
          <w:lang w:val="en-US"/>
        </w:rPr>
      </w:pPr>
      <w:bookmarkStart w:id="67" w:name="_Toc495920002"/>
      <w:bookmarkStart w:id="68" w:name="_Toc504464719"/>
      <w:r>
        <w:rPr>
          <w:lang w:val="en-US"/>
        </w:rPr>
        <w:t xml:space="preserve">Local </w:t>
      </w:r>
      <w:r w:rsidR="00226811">
        <w:rPr>
          <w:lang w:val="en-US"/>
        </w:rPr>
        <w:t>p</w:t>
      </w:r>
      <w:r>
        <w:rPr>
          <w:lang w:val="en-US"/>
        </w:rPr>
        <w:t>lanning</w:t>
      </w:r>
      <w:r w:rsidRPr="00E80CC8">
        <w:rPr>
          <w:lang w:val="en-US"/>
        </w:rPr>
        <w:t xml:space="preserve"> context</w:t>
      </w:r>
      <w:bookmarkEnd w:id="67"/>
      <w:bookmarkEnd w:id="68"/>
    </w:p>
    <w:p w:rsidR="00FC4BB9" w:rsidRPr="00356B60" w:rsidRDefault="00FC4BB9" w:rsidP="00FC4BB9">
      <w:pPr>
        <w:pStyle w:val="ListNumber"/>
        <w:rPr>
          <w:lang w:val="en-US"/>
        </w:rPr>
      </w:pPr>
      <w:r w:rsidRPr="00356B60">
        <w:rPr>
          <w:lang w:val="en-US"/>
        </w:rPr>
        <w:t>In line with the basic conditions of Neighbourhood Planning, Neighbourhood Development Plans (NDPs) are required to be in general conformity with adopted strategic local policies. Consequently, there is a requirement for the relevant Local Plan to be reviewed as part of this HNA.</w:t>
      </w:r>
      <w:r>
        <w:rPr>
          <w:lang w:val="en-US"/>
        </w:rPr>
        <w:t xml:space="preserve"> The </w:t>
      </w:r>
      <w:proofErr w:type="spellStart"/>
      <w:r>
        <w:rPr>
          <w:lang w:val="en-US"/>
        </w:rPr>
        <w:t>Chichester</w:t>
      </w:r>
      <w:proofErr w:type="spellEnd"/>
      <w:r>
        <w:rPr>
          <w:lang w:val="en-US"/>
        </w:rPr>
        <w:t xml:space="preserve"> Local Plan, adopted </w:t>
      </w:r>
      <w:r w:rsidR="002427BE">
        <w:rPr>
          <w:lang w:val="en-US"/>
        </w:rPr>
        <w:t xml:space="preserve">in </w:t>
      </w:r>
      <w:r>
        <w:rPr>
          <w:lang w:val="en-US"/>
        </w:rPr>
        <w:t xml:space="preserve">July 2015, </w:t>
      </w:r>
      <w:r w:rsidR="002427BE">
        <w:rPr>
          <w:lang w:val="en-US"/>
        </w:rPr>
        <w:t xml:space="preserve">is </w:t>
      </w:r>
      <w:r w:rsidRPr="008A007D">
        <w:t>the most up</w:t>
      </w:r>
      <w:r w:rsidR="002427BE">
        <w:t>-</w:t>
      </w:r>
      <w:r w:rsidRPr="008A007D">
        <w:t>to</w:t>
      </w:r>
      <w:r w:rsidR="002427BE">
        <w:t>-</w:t>
      </w:r>
      <w:r w:rsidRPr="008A007D">
        <w:t>date local plan for the area and so has been reviewed for policies relevant to housing need.</w:t>
      </w:r>
    </w:p>
    <w:p w:rsidR="00FC4BB9" w:rsidRDefault="00FC4BB9" w:rsidP="00FC4BB9">
      <w:pPr>
        <w:pStyle w:val="Heading3"/>
        <w:rPr>
          <w:lang w:val="en-US"/>
        </w:rPr>
      </w:pPr>
      <w:bookmarkStart w:id="69" w:name="_Toc495920003"/>
      <w:proofErr w:type="spellStart"/>
      <w:r>
        <w:rPr>
          <w:lang w:val="en-US"/>
        </w:rPr>
        <w:t>Chichester</w:t>
      </w:r>
      <w:proofErr w:type="spellEnd"/>
      <w:r>
        <w:rPr>
          <w:lang w:val="en-US"/>
        </w:rPr>
        <w:t xml:space="preserve"> Local Plan (</w:t>
      </w:r>
      <w:r w:rsidR="001C30A9">
        <w:rPr>
          <w:lang w:val="en-US"/>
        </w:rPr>
        <w:t>a</w:t>
      </w:r>
      <w:r>
        <w:rPr>
          <w:lang w:val="en-US"/>
        </w:rPr>
        <w:t>dopted, July 2015)</w:t>
      </w:r>
      <w:bookmarkEnd w:id="69"/>
    </w:p>
    <w:p w:rsidR="00FC4BB9" w:rsidRPr="00E47363" w:rsidRDefault="00FC4BB9" w:rsidP="00FC4BB9">
      <w:pPr>
        <w:pStyle w:val="ListNumber"/>
        <w:rPr>
          <w:lang w:val="en-US"/>
        </w:rPr>
      </w:pPr>
      <w:r w:rsidRPr="00E47363">
        <w:rPr>
          <w:lang w:val="en-US"/>
        </w:rPr>
        <w:t>Policy 2 – Development Strategy and Settlement Hierarchy</w:t>
      </w:r>
      <w:r>
        <w:rPr>
          <w:lang w:val="en-US"/>
        </w:rPr>
        <w:t xml:space="preserve"> sets out the settlement strategy and identifies the locations where sustainable development will be accommodated. Growth will be primarily focused in </w:t>
      </w:r>
      <w:proofErr w:type="spellStart"/>
      <w:r>
        <w:rPr>
          <w:lang w:val="en-US"/>
        </w:rPr>
        <w:t>Chichester</w:t>
      </w:r>
      <w:proofErr w:type="spellEnd"/>
      <w:r>
        <w:rPr>
          <w:lang w:val="en-US"/>
        </w:rPr>
        <w:t xml:space="preserve"> City and four other settlement hubs including East </w:t>
      </w:r>
      <w:proofErr w:type="spellStart"/>
      <w:r>
        <w:rPr>
          <w:lang w:val="en-US"/>
        </w:rPr>
        <w:t>Wittering</w:t>
      </w:r>
      <w:proofErr w:type="spellEnd"/>
      <w:r>
        <w:rPr>
          <w:lang w:val="en-US"/>
        </w:rPr>
        <w:t xml:space="preserve"> which covers the eastern part of the Neighbourhood Plan Area. Services villages such as West </w:t>
      </w:r>
      <w:proofErr w:type="spellStart"/>
      <w:r>
        <w:rPr>
          <w:lang w:val="en-US"/>
        </w:rPr>
        <w:t>Wittering</w:t>
      </w:r>
      <w:proofErr w:type="spellEnd"/>
      <w:r>
        <w:rPr>
          <w:lang w:val="en-US"/>
        </w:rPr>
        <w:t xml:space="preserve"> are designated as areas of limited growth and </w:t>
      </w:r>
      <w:r w:rsidR="001C30A9">
        <w:rPr>
          <w:lang w:val="en-US"/>
        </w:rPr>
        <w:t xml:space="preserve">suitable for </w:t>
      </w:r>
      <w:r>
        <w:rPr>
          <w:lang w:val="en-US"/>
        </w:rPr>
        <w:t xml:space="preserve">small scale housing developments.    </w:t>
      </w:r>
    </w:p>
    <w:p w:rsidR="00FC4BB9" w:rsidRDefault="00FC4BB9" w:rsidP="00FC4BB9">
      <w:pPr>
        <w:pStyle w:val="ListNumber"/>
        <w:rPr>
          <w:lang w:val="en-US"/>
        </w:rPr>
      </w:pPr>
      <w:r>
        <w:rPr>
          <w:lang w:val="en-US"/>
        </w:rPr>
        <w:t xml:space="preserve">Policy 4 – </w:t>
      </w:r>
      <w:r w:rsidRPr="00E47363">
        <w:rPr>
          <w:lang w:val="en-US"/>
        </w:rPr>
        <w:t>Housing Provision</w:t>
      </w:r>
      <w:r>
        <w:rPr>
          <w:lang w:val="en-US"/>
        </w:rPr>
        <w:t xml:space="preserve"> sets the target number of homes for the entire </w:t>
      </w:r>
      <w:r w:rsidR="005F5CF8">
        <w:rPr>
          <w:lang w:val="en-US"/>
        </w:rPr>
        <w:t>District</w:t>
      </w:r>
      <w:r>
        <w:rPr>
          <w:lang w:val="en-US"/>
        </w:rPr>
        <w:t xml:space="preserve"> a</w:t>
      </w:r>
      <w:r w:rsidR="001C30A9">
        <w:rPr>
          <w:lang w:val="en-US"/>
        </w:rPr>
        <w:t>t</w:t>
      </w:r>
      <w:r>
        <w:rPr>
          <w:lang w:val="en-US"/>
        </w:rPr>
        <w:t xml:space="preserve"> 7,388, and </w:t>
      </w:r>
      <w:r w:rsidR="001C30A9">
        <w:rPr>
          <w:lang w:val="en-US"/>
        </w:rPr>
        <w:t xml:space="preserve">stipulates </w:t>
      </w:r>
      <w:r>
        <w:rPr>
          <w:lang w:val="en-US"/>
        </w:rPr>
        <w:t xml:space="preserve">that this should be distributed across three different parts of the </w:t>
      </w:r>
      <w:r w:rsidR="005F5CF8">
        <w:rPr>
          <w:lang w:val="en-US"/>
        </w:rPr>
        <w:t>District</w:t>
      </w:r>
      <w:r>
        <w:rPr>
          <w:lang w:val="en-US"/>
        </w:rPr>
        <w:t xml:space="preserve">: the East-West Corridor, the Manhood Peninsula and the North of Plan Area. The Manhood Peninsula where West </w:t>
      </w:r>
      <w:proofErr w:type="spellStart"/>
      <w:r>
        <w:rPr>
          <w:lang w:val="en-US"/>
        </w:rPr>
        <w:t>Wittering</w:t>
      </w:r>
      <w:proofErr w:type="spellEnd"/>
      <w:r>
        <w:rPr>
          <w:lang w:val="en-US"/>
        </w:rPr>
        <w:t xml:space="preserve"> is located should accommodate 893 homes over the Plan period (2012-2029). </w:t>
      </w:r>
      <w:r w:rsidR="006E3705">
        <w:rPr>
          <w:lang w:val="en-US"/>
        </w:rPr>
        <w:t>The policy goes on to</w:t>
      </w:r>
      <w:r>
        <w:rPr>
          <w:lang w:val="en-US"/>
        </w:rPr>
        <w:t xml:space="preserve"> state that Policy 5 should apply</w:t>
      </w:r>
      <w:r w:rsidR="006E3705">
        <w:rPr>
          <w:lang w:val="en-US"/>
        </w:rPr>
        <w:t xml:space="preserve"> to Parish housing sites</w:t>
      </w:r>
      <w:r>
        <w:rPr>
          <w:lang w:val="en-US"/>
        </w:rPr>
        <w:t>.</w:t>
      </w:r>
    </w:p>
    <w:p w:rsidR="00FC4BB9" w:rsidRPr="0012760B" w:rsidRDefault="00FC4BB9" w:rsidP="00FC4BB9">
      <w:pPr>
        <w:pStyle w:val="ListNumber"/>
        <w:rPr>
          <w:lang w:val="en-US"/>
        </w:rPr>
      </w:pPr>
      <w:r>
        <w:rPr>
          <w:lang w:val="en-US"/>
        </w:rPr>
        <w:t xml:space="preserve">Policy 5 – </w:t>
      </w:r>
      <w:r w:rsidR="005F5CF8">
        <w:rPr>
          <w:lang w:val="en-US"/>
        </w:rPr>
        <w:t>Parish</w:t>
      </w:r>
      <w:r>
        <w:rPr>
          <w:lang w:val="en-US"/>
        </w:rPr>
        <w:t xml:space="preserve"> Housing Sites 2012-2029 identifies </w:t>
      </w:r>
      <w:r w:rsidRPr="00B26F1C">
        <w:rPr>
          <w:lang w:val="en-US"/>
        </w:rPr>
        <w:t>the specific needs of local</w:t>
      </w:r>
      <w:r>
        <w:rPr>
          <w:lang w:val="en-US"/>
        </w:rPr>
        <w:t xml:space="preserve"> </w:t>
      </w:r>
      <w:r w:rsidRPr="00B26F1C">
        <w:rPr>
          <w:lang w:val="en-US"/>
        </w:rPr>
        <w:t>communities</w:t>
      </w:r>
      <w:r>
        <w:rPr>
          <w:lang w:val="en-US"/>
        </w:rPr>
        <w:t xml:space="preserve">. It states that 860 homes are to be planned in </w:t>
      </w:r>
      <w:r w:rsidR="005F5CF8">
        <w:rPr>
          <w:lang w:val="en-US"/>
        </w:rPr>
        <w:t>Parish</w:t>
      </w:r>
      <w:r>
        <w:rPr>
          <w:lang w:val="en-US"/>
        </w:rPr>
        <w:t xml:space="preserve"> housing sites including 50 in West </w:t>
      </w:r>
      <w:proofErr w:type="spellStart"/>
      <w:r>
        <w:rPr>
          <w:lang w:val="en-US"/>
        </w:rPr>
        <w:t>Wittering</w:t>
      </w:r>
      <w:proofErr w:type="spellEnd"/>
      <w:r>
        <w:rPr>
          <w:lang w:val="en-US"/>
        </w:rPr>
        <w:t>. S</w:t>
      </w:r>
      <w:r w:rsidRPr="00B26F1C">
        <w:rPr>
          <w:lang w:val="en-US"/>
        </w:rPr>
        <w:t xml:space="preserve">mall scale housing sites will be </w:t>
      </w:r>
      <w:r w:rsidRPr="00B26F1C">
        <w:rPr>
          <w:lang w:val="en-US"/>
        </w:rPr>
        <w:lastRenderedPageBreak/>
        <w:t>identified to address</w:t>
      </w:r>
      <w:r>
        <w:rPr>
          <w:lang w:val="en-US"/>
        </w:rPr>
        <w:t xml:space="preserve"> these needs </w:t>
      </w:r>
      <w:r w:rsidRPr="009840AC">
        <w:rPr>
          <w:lang w:val="en-US"/>
        </w:rPr>
        <w:t>in neighbourhood plans</w:t>
      </w:r>
      <w:r>
        <w:rPr>
          <w:lang w:val="en-US"/>
        </w:rPr>
        <w:t xml:space="preserve"> </w:t>
      </w:r>
      <w:r w:rsidRPr="0012760B">
        <w:rPr>
          <w:lang w:val="en-US"/>
        </w:rPr>
        <w:t>or in a Site Allocation</w:t>
      </w:r>
      <w:r w:rsidR="0054689D">
        <w:rPr>
          <w:lang w:val="en-US"/>
        </w:rPr>
        <w:t>s</w:t>
      </w:r>
      <w:r w:rsidRPr="0012760B">
        <w:rPr>
          <w:lang w:val="en-US"/>
        </w:rPr>
        <w:t xml:space="preserve"> DPD which</w:t>
      </w:r>
      <w:r>
        <w:rPr>
          <w:lang w:val="en-US"/>
        </w:rPr>
        <w:t xml:space="preserve"> </w:t>
      </w:r>
      <w:r w:rsidRPr="0012760B">
        <w:rPr>
          <w:lang w:val="en-US"/>
        </w:rPr>
        <w:t>the Council will prepare following adoption of the Local Plan.</w:t>
      </w:r>
    </w:p>
    <w:p w:rsidR="00FC4BB9" w:rsidRPr="00E45E87" w:rsidRDefault="00FC4BB9" w:rsidP="00FC4BB9">
      <w:pPr>
        <w:pStyle w:val="ListNumber"/>
        <w:rPr>
          <w:lang w:val="en-US"/>
        </w:rPr>
      </w:pPr>
      <w:r>
        <w:rPr>
          <w:lang w:val="en-US"/>
        </w:rPr>
        <w:t xml:space="preserve">Policy 34 – Affordable </w:t>
      </w:r>
      <w:r w:rsidR="003269DA">
        <w:rPr>
          <w:lang w:val="en-US"/>
        </w:rPr>
        <w:t>H</w:t>
      </w:r>
      <w:r>
        <w:rPr>
          <w:lang w:val="en-US"/>
        </w:rPr>
        <w:t xml:space="preserve">ousing </w:t>
      </w:r>
      <w:r w:rsidRPr="00E45E87">
        <w:rPr>
          <w:lang w:val="en-US"/>
        </w:rPr>
        <w:t xml:space="preserve">sets out the </w:t>
      </w:r>
      <w:r w:rsidR="005F5CF8">
        <w:rPr>
          <w:lang w:val="en-US"/>
        </w:rPr>
        <w:t>District</w:t>
      </w:r>
      <w:r w:rsidRPr="00E45E87">
        <w:rPr>
          <w:lang w:val="en-US"/>
        </w:rPr>
        <w:t>’s requirements for the provision of 30% affordable housing on sites of 11 dwellings or more. Commuted sums will only be accepted in exceptional circumstances. On sites of 6 to 10 dwellings in areas designated as rural areas, the Council will seek a financial contribution for the provision of affordable dwellings as a commuted sum unless the developer makes onsite provision.</w:t>
      </w:r>
    </w:p>
    <w:p w:rsidR="00FC4BB9" w:rsidRPr="00E45E87" w:rsidRDefault="00FC4BB9" w:rsidP="00FC4BB9">
      <w:pPr>
        <w:pStyle w:val="ListNumber"/>
        <w:rPr>
          <w:lang w:val="en-US"/>
        </w:rPr>
      </w:pPr>
      <w:r>
        <w:rPr>
          <w:lang w:val="en-US"/>
        </w:rPr>
        <w:t xml:space="preserve">Policy 35 – Affordable </w:t>
      </w:r>
      <w:r w:rsidR="003269DA">
        <w:rPr>
          <w:lang w:val="en-US"/>
        </w:rPr>
        <w:t xml:space="preserve">Housing </w:t>
      </w:r>
      <w:r>
        <w:rPr>
          <w:lang w:val="en-US"/>
        </w:rPr>
        <w:t xml:space="preserve">Exception Sites sets out the criteria that have to be met for affordable housing to be permitted on </w:t>
      </w:r>
      <w:r w:rsidRPr="00E45E87">
        <w:rPr>
          <w:lang w:val="en-US"/>
        </w:rPr>
        <w:t xml:space="preserve">exception sites outside of </w:t>
      </w:r>
      <w:r w:rsidR="00CA29EE">
        <w:rPr>
          <w:lang w:val="en-US"/>
        </w:rPr>
        <w:t>s</w:t>
      </w:r>
      <w:r w:rsidRPr="00E45E87">
        <w:rPr>
          <w:lang w:val="en-US"/>
        </w:rPr>
        <w:t xml:space="preserve">ettlement </w:t>
      </w:r>
      <w:r w:rsidR="00CA29EE">
        <w:rPr>
          <w:lang w:val="en-US"/>
        </w:rPr>
        <w:t>b</w:t>
      </w:r>
      <w:r w:rsidRPr="00E45E87">
        <w:rPr>
          <w:lang w:val="en-US"/>
        </w:rPr>
        <w:t>oundaries to meet a specific</w:t>
      </w:r>
      <w:r>
        <w:rPr>
          <w:lang w:val="en-US"/>
        </w:rPr>
        <w:t xml:space="preserve"> </w:t>
      </w:r>
      <w:r w:rsidRPr="00E45E87">
        <w:rPr>
          <w:lang w:val="en-US"/>
        </w:rPr>
        <w:t>local need where there are no available and deliverable sites within a settlement.</w:t>
      </w:r>
    </w:p>
    <w:p w:rsidR="00FC4BB9" w:rsidRDefault="00FC4BB9" w:rsidP="00FC4BB9">
      <w:pPr>
        <w:pStyle w:val="ListNumber"/>
        <w:rPr>
          <w:lang w:val="en-US"/>
        </w:rPr>
      </w:pPr>
      <w:r w:rsidRPr="00E45E87">
        <w:rPr>
          <w:lang w:val="en-US"/>
        </w:rPr>
        <w:t>Policy 36</w:t>
      </w:r>
      <w:r>
        <w:rPr>
          <w:lang w:val="en-US"/>
        </w:rPr>
        <w:t xml:space="preserve"> – </w:t>
      </w:r>
      <w:r w:rsidRPr="00E45E87">
        <w:rPr>
          <w:lang w:val="en-US"/>
        </w:rPr>
        <w:t xml:space="preserve">Planning for </w:t>
      </w:r>
      <w:proofErr w:type="spellStart"/>
      <w:r w:rsidRPr="00E45E87">
        <w:rPr>
          <w:lang w:val="en-US"/>
        </w:rPr>
        <w:t>Gypsies</w:t>
      </w:r>
      <w:proofErr w:type="gramStart"/>
      <w:r w:rsidRPr="00E45E87">
        <w:rPr>
          <w:lang w:val="en-US"/>
        </w:rPr>
        <w:t>,Travellers</w:t>
      </w:r>
      <w:proofErr w:type="spellEnd"/>
      <w:proofErr w:type="gramEnd"/>
      <w:r w:rsidRPr="00E45E87">
        <w:rPr>
          <w:lang w:val="en-US"/>
        </w:rPr>
        <w:t xml:space="preserve"> and Travelling Show</w:t>
      </w:r>
      <w:r w:rsidR="003269DA">
        <w:rPr>
          <w:lang w:val="en-US"/>
        </w:rPr>
        <w:t xml:space="preserve"> </w:t>
      </w:r>
      <w:r w:rsidRPr="00E45E87">
        <w:rPr>
          <w:lang w:val="en-US"/>
        </w:rPr>
        <w:t xml:space="preserve">people </w:t>
      </w:r>
      <w:r>
        <w:rPr>
          <w:lang w:val="en-US"/>
        </w:rPr>
        <w:t xml:space="preserve">identifies a potential need for additional permanent residential pitches and plots for the period 2012 to 2027 and sets out the list of criteria that </w:t>
      </w:r>
      <w:r w:rsidR="00F00A7C">
        <w:rPr>
          <w:lang w:val="en-US"/>
        </w:rPr>
        <w:t>must</w:t>
      </w:r>
      <w:r>
        <w:rPr>
          <w:lang w:val="en-US"/>
        </w:rPr>
        <w:t xml:space="preserve"> be met in </w:t>
      </w:r>
      <w:r w:rsidR="00F00A7C">
        <w:rPr>
          <w:lang w:val="en-US"/>
        </w:rPr>
        <w:t>identifying suitable</w:t>
      </w:r>
      <w:r>
        <w:rPr>
          <w:lang w:val="en-US"/>
        </w:rPr>
        <w:t xml:space="preserve"> sites.</w:t>
      </w:r>
    </w:p>
    <w:p w:rsidR="00B90B1C" w:rsidRPr="003A2EED" w:rsidRDefault="00E80CC8" w:rsidP="00B90B1C">
      <w:pPr>
        <w:pStyle w:val="Heading1"/>
        <w:rPr>
          <w:lang w:val="en-US"/>
        </w:rPr>
      </w:pPr>
      <w:bookmarkStart w:id="70" w:name="_Toc504464720"/>
      <w:r w:rsidRPr="00E80CC8">
        <w:rPr>
          <w:lang w:val="en-US"/>
        </w:rPr>
        <w:t>Approach</w:t>
      </w:r>
      <w:bookmarkEnd w:id="63"/>
      <w:bookmarkEnd w:id="64"/>
      <w:bookmarkEnd w:id="70"/>
    </w:p>
    <w:p w:rsidR="00E80CC8" w:rsidRPr="00E80CC8" w:rsidRDefault="00E80CC8" w:rsidP="00B90B1C">
      <w:pPr>
        <w:pStyle w:val="Heading2"/>
        <w:rPr>
          <w:lang w:val="en-US"/>
        </w:rPr>
      </w:pPr>
      <w:bookmarkStart w:id="71" w:name="_Toc504464721"/>
      <w:r w:rsidRPr="00E80CC8">
        <w:rPr>
          <w:lang w:val="en-US"/>
        </w:rPr>
        <w:t xml:space="preserve">Research </w:t>
      </w:r>
      <w:r w:rsidR="00630DFC">
        <w:rPr>
          <w:lang w:val="en-US"/>
        </w:rPr>
        <w:t>q</w:t>
      </w:r>
      <w:r w:rsidRPr="00E80CC8">
        <w:rPr>
          <w:lang w:val="en-US"/>
        </w:rPr>
        <w:t>uestions</w:t>
      </w:r>
      <w:bookmarkEnd w:id="71"/>
    </w:p>
    <w:p w:rsidR="00E80CC8" w:rsidRPr="00E80CC8" w:rsidRDefault="00E80CC8" w:rsidP="00B90B1C">
      <w:pPr>
        <w:pStyle w:val="ListNumber"/>
        <w:rPr>
          <w:lang w:val="en-US"/>
        </w:rPr>
      </w:pPr>
      <w:r w:rsidRPr="00E80CC8">
        <w:rPr>
          <w:lang w:val="en-US"/>
        </w:rPr>
        <w:t>Housing Needs Assessment at neighbourhood plan level can be focused either on quantity of housing needed, type of housing need, or both. In most cases, there is a need to focus on quantity where the housing target for the settlement being assessed is unclear, for example where the local authority has not set a specific target for the settlement, or where there is no local plan in place.</w:t>
      </w:r>
    </w:p>
    <w:p w:rsidR="00D416D0" w:rsidRPr="00C26717" w:rsidRDefault="00D416D0" w:rsidP="00C26717">
      <w:pPr>
        <w:pStyle w:val="Heading3"/>
        <w:rPr>
          <w:rFonts w:eastAsia="Times New Roman"/>
        </w:rPr>
      </w:pPr>
      <w:bookmarkStart w:id="72" w:name="_Toc489984288"/>
      <w:r w:rsidRPr="00C26717">
        <w:rPr>
          <w:rFonts w:eastAsia="Times New Roman"/>
        </w:rPr>
        <w:t>Quantity</w:t>
      </w:r>
      <w:bookmarkEnd w:id="72"/>
    </w:p>
    <w:p w:rsidR="00D416D0" w:rsidRDefault="00D416D0" w:rsidP="00C26717">
      <w:pPr>
        <w:pStyle w:val="ListNumber"/>
        <w:rPr>
          <w:color w:val="000000" w:themeColor="text1"/>
        </w:rPr>
      </w:pPr>
      <w:r w:rsidRPr="00C83371">
        <w:rPr>
          <w:color w:val="000000" w:themeColor="text1"/>
        </w:rPr>
        <w:t xml:space="preserve">The Local Authority, Chichester </w:t>
      </w:r>
      <w:r w:rsidR="005F5CF8">
        <w:rPr>
          <w:color w:val="000000" w:themeColor="text1"/>
        </w:rPr>
        <w:t>District</w:t>
      </w:r>
      <w:r w:rsidRPr="00C83371">
        <w:rPr>
          <w:color w:val="000000" w:themeColor="text1"/>
        </w:rPr>
        <w:t xml:space="preserve"> Council (CDC), is in the process of developing a new Local Plan. They have committed to provid</w:t>
      </w:r>
      <w:r w:rsidR="00207657">
        <w:rPr>
          <w:color w:val="000000" w:themeColor="text1"/>
        </w:rPr>
        <w:t>ing</w:t>
      </w:r>
      <w:r w:rsidRPr="00C83371">
        <w:rPr>
          <w:color w:val="000000" w:themeColor="text1"/>
        </w:rPr>
        <w:t xml:space="preserve"> West Wittering </w:t>
      </w:r>
      <w:r w:rsidR="005F5CF8">
        <w:rPr>
          <w:color w:val="000000" w:themeColor="text1"/>
        </w:rPr>
        <w:t>Parish</w:t>
      </w:r>
      <w:r w:rsidRPr="00C83371">
        <w:rPr>
          <w:color w:val="000000" w:themeColor="text1"/>
        </w:rPr>
        <w:t xml:space="preserve"> Council with a housing number, updating the allocation of 50 dwellings </w:t>
      </w:r>
      <w:r>
        <w:rPr>
          <w:color w:val="000000" w:themeColor="text1"/>
        </w:rPr>
        <w:t xml:space="preserve">to the settlement area </w:t>
      </w:r>
      <w:r w:rsidRPr="00C83371">
        <w:rPr>
          <w:color w:val="000000" w:themeColor="text1"/>
        </w:rPr>
        <w:t xml:space="preserve">that appears in the current adopted Local Plan. </w:t>
      </w:r>
    </w:p>
    <w:p w:rsidR="00D416D0" w:rsidRPr="00C83371" w:rsidRDefault="00D416D0" w:rsidP="00C26717">
      <w:pPr>
        <w:pStyle w:val="ListNumber"/>
        <w:rPr>
          <w:color w:val="000000" w:themeColor="text1"/>
        </w:rPr>
      </w:pPr>
      <w:r>
        <w:rPr>
          <w:color w:val="000000" w:themeColor="text1"/>
        </w:rPr>
        <w:t xml:space="preserve">Despite commitment from CDC to provide </w:t>
      </w:r>
      <w:r w:rsidRPr="00C83371">
        <w:rPr>
          <w:color w:val="000000" w:themeColor="text1"/>
        </w:rPr>
        <w:t xml:space="preserve">the group </w:t>
      </w:r>
      <w:r>
        <w:rPr>
          <w:color w:val="000000" w:themeColor="text1"/>
        </w:rPr>
        <w:t xml:space="preserve">with this number, WWPC </w:t>
      </w:r>
      <w:r w:rsidRPr="00C83371">
        <w:rPr>
          <w:color w:val="000000" w:themeColor="text1"/>
        </w:rPr>
        <w:t xml:space="preserve">wishes to generate their own assessment to ensure </w:t>
      </w:r>
      <w:r w:rsidR="00207657">
        <w:rPr>
          <w:color w:val="000000" w:themeColor="text1"/>
        </w:rPr>
        <w:t xml:space="preserve">that </w:t>
      </w:r>
      <w:r>
        <w:rPr>
          <w:color w:val="000000" w:themeColor="text1"/>
        </w:rPr>
        <w:t xml:space="preserve">the final </w:t>
      </w:r>
      <w:r w:rsidR="00207657">
        <w:rPr>
          <w:color w:val="000000" w:themeColor="text1"/>
        </w:rPr>
        <w:t xml:space="preserve">dwelling </w:t>
      </w:r>
      <w:r>
        <w:rPr>
          <w:color w:val="000000" w:themeColor="text1"/>
        </w:rPr>
        <w:t>number used to support policies in their plan</w:t>
      </w:r>
      <w:r w:rsidRPr="00C83371">
        <w:rPr>
          <w:color w:val="000000" w:themeColor="text1"/>
        </w:rPr>
        <w:t xml:space="preserve"> provides adequately for the future needs of the community, particularly in relation to the provision of dwellings suited to the needs of young people </w:t>
      </w:r>
      <w:r>
        <w:rPr>
          <w:color w:val="000000" w:themeColor="text1"/>
        </w:rPr>
        <w:t>and families fro</w:t>
      </w:r>
      <w:r w:rsidRPr="00C83371">
        <w:rPr>
          <w:color w:val="000000" w:themeColor="text1"/>
        </w:rPr>
        <w:t xml:space="preserve">m the area </w:t>
      </w:r>
      <w:r w:rsidR="00207657">
        <w:rPr>
          <w:color w:val="000000" w:themeColor="text1"/>
        </w:rPr>
        <w:t>who</w:t>
      </w:r>
      <w:r>
        <w:rPr>
          <w:color w:val="000000" w:themeColor="text1"/>
        </w:rPr>
        <w:t xml:space="preserve"> wish to continue to live there. </w:t>
      </w:r>
      <w:r w:rsidRPr="00C83371">
        <w:rPr>
          <w:color w:val="000000" w:themeColor="text1"/>
        </w:rPr>
        <w:t xml:space="preserve"> </w:t>
      </w:r>
    </w:p>
    <w:p w:rsidR="00D416D0" w:rsidRPr="00D416D0" w:rsidRDefault="00D416D0" w:rsidP="00D416D0">
      <w:pPr>
        <w:pStyle w:val="ListNumber"/>
        <w:numPr>
          <w:ilvl w:val="0"/>
          <w:numId w:val="0"/>
        </w:numPr>
        <w:ind w:left="425" w:hanging="425"/>
        <w:rPr>
          <w:i/>
        </w:rPr>
      </w:pPr>
      <w:r w:rsidRPr="00D416D0">
        <w:rPr>
          <w:i/>
        </w:rPr>
        <w:t>RQ1. What quantity of housing is appropriate for the NPA?</w:t>
      </w:r>
    </w:p>
    <w:p w:rsidR="00E80CC8" w:rsidRPr="00E80CC8" w:rsidRDefault="00E80CC8" w:rsidP="00B90B1C">
      <w:pPr>
        <w:pStyle w:val="ListNumber"/>
        <w:rPr>
          <w:bCs/>
          <w:iCs/>
          <w:sz w:val="22"/>
          <w:szCs w:val="22"/>
          <w:lang w:val="en-US"/>
        </w:rPr>
      </w:pPr>
      <w:r w:rsidRPr="00B90B1C">
        <w:rPr>
          <w:lang w:val="en-US"/>
        </w:rPr>
        <w:t xml:space="preserve">It is therefore necessary to arrive at an estimate for the required housing growth </w:t>
      </w:r>
      <w:r w:rsidR="00207657">
        <w:rPr>
          <w:lang w:val="en-US"/>
        </w:rPr>
        <w:t>based</w:t>
      </w:r>
      <w:r w:rsidR="00207657" w:rsidRPr="00B90B1C">
        <w:rPr>
          <w:lang w:val="en-US"/>
        </w:rPr>
        <w:t xml:space="preserve"> </w:t>
      </w:r>
      <w:r w:rsidRPr="00B90B1C">
        <w:rPr>
          <w:lang w:val="en-US"/>
        </w:rPr>
        <w:t>on a number of reliable sources</w:t>
      </w:r>
      <w:r w:rsidR="00207657">
        <w:rPr>
          <w:bCs/>
          <w:iCs/>
          <w:szCs w:val="22"/>
          <w:lang w:val="en-US"/>
        </w:rPr>
        <w:t>:</w:t>
      </w:r>
      <w:r w:rsidRPr="00CE19EC">
        <w:rPr>
          <w:bCs/>
          <w:iCs/>
          <w:szCs w:val="22"/>
          <w:lang w:val="en-US"/>
        </w:rPr>
        <w:t xml:space="preserve"> </w:t>
      </w:r>
    </w:p>
    <w:p w:rsidR="00E80CC8" w:rsidRPr="00B90B1C" w:rsidRDefault="00207657" w:rsidP="008D11A6">
      <w:pPr>
        <w:pStyle w:val="ListBullet"/>
        <w:rPr>
          <w:lang w:val="en-US"/>
        </w:rPr>
      </w:pPr>
      <w:r>
        <w:rPr>
          <w:lang w:val="en-US"/>
        </w:rPr>
        <w:t>a</w:t>
      </w:r>
      <w:r w:rsidR="00E80CC8" w:rsidRPr="00B90B1C">
        <w:rPr>
          <w:lang w:val="en-US"/>
        </w:rPr>
        <w:t xml:space="preserve"> number derived from the </w:t>
      </w:r>
      <w:r w:rsidR="00E858D8">
        <w:rPr>
          <w:lang w:val="en-US"/>
        </w:rPr>
        <w:t>Local Plan</w:t>
      </w:r>
      <w:r>
        <w:rPr>
          <w:lang w:val="en-US"/>
        </w:rPr>
        <w:t>;</w:t>
      </w:r>
    </w:p>
    <w:p w:rsidR="00E80CC8" w:rsidRPr="00B90B1C" w:rsidRDefault="00E80CC8" w:rsidP="008D11A6">
      <w:pPr>
        <w:pStyle w:val="ListBullet"/>
        <w:rPr>
          <w:lang w:val="en-US"/>
        </w:rPr>
      </w:pPr>
      <w:r w:rsidRPr="00B90B1C">
        <w:rPr>
          <w:lang w:val="en-US"/>
        </w:rPr>
        <w:t>SHMA</w:t>
      </w:r>
      <w:r w:rsidR="006713D2">
        <w:rPr>
          <w:lang w:val="en-US"/>
        </w:rPr>
        <w:t xml:space="preserve"> studies</w:t>
      </w:r>
      <w:r w:rsidRPr="00B90B1C">
        <w:rPr>
          <w:lang w:val="en-US"/>
        </w:rPr>
        <w:t xml:space="preserve"> - proportional share drawn from OAN; </w:t>
      </w:r>
    </w:p>
    <w:p w:rsidR="00E80CC8" w:rsidRPr="00B90B1C" w:rsidRDefault="00B25544" w:rsidP="008D11A6">
      <w:pPr>
        <w:pStyle w:val="ListBullet"/>
        <w:rPr>
          <w:lang w:val="en-US"/>
        </w:rPr>
      </w:pPr>
      <w:r>
        <w:rPr>
          <w:lang w:val="en-US"/>
        </w:rPr>
        <w:t>MHCLG</w:t>
      </w:r>
      <w:r w:rsidR="00E80CC8" w:rsidRPr="00B90B1C">
        <w:rPr>
          <w:lang w:val="en-US"/>
        </w:rPr>
        <w:t xml:space="preserve"> Household projections</w:t>
      </w:r>
      <w:r w:rsidR="00207657">
        <w:rPr>
          <w:lang w:val="en-US"/>
        </w:rPr>
        <w:t>; and</w:t>
      </w:r>
    </w:p>
    <w:p w:rsidR="00E80CC8" w:rsidRPr="00B90B1C" w:rsidRDefault="00E80CC8" w:rsidP="008D11A6">
      <w:pPr>
        <w:pStyle w:val="ListBullet"/>
        <w:rPr>
          <w:lang w:val="en-US"/>
        </w:rPr>
      </w:pPr>
      <w:r w:rsidRPr="00B90B1C">
        <w:rPr>
          <w:lang w:val="en-US"/>
        </w:rPr>
        <w:t>Net dwelling completion rates 2001-201</w:t>
      </w:r>
      <w:r w:rsidR="00E858D8">
        <w:rPr>
          <w:lang w:val="en-US"/>
        </w:rPr>
        <w:t>6</w:t>
      </w:r>
      <w:r w:rsidR="00207657">
        <w:rPr>
          <w:lang w:val="en-US"/>
        </w:rPr>
        <w:t>.</w:t>
      </w:r>
    </w:p>
    <w:p w:rsidR="00E80CC8" w:rsidRDefault="00E80CC8" w:rsidP="00B90B1C">
      <w:pPr>
        <w:pStyle w:val="ListNumber"/>
        <w:rPr>
          <w:bCs/>
          <w:iCs/>
          <w:szCs w:val="22"/>
          <w:lang w:val="en-US"/>
        </w:rPr>
      </w:pPr>
      <w:r w:rsidRPr="00B90B1C">
        <w:rPr>
          <w:bCs/>
          <w:iCs/>
          <w:szCs w:val="22"/>
          <w:lang w:val="en-US"/>
        </w:rPr>
        <w:t>In addition to the question of quantity, is it important to break this down to enable policy to be developed that reflects community need. This question relates to the tenure, type</w:t>
      </w:r>
      <w:r w:rsidR="005D098B">
        <w:rPr>
          <w:bCs/>
          <w:iCs/>
          <w:szCs w:val="22"/>
          <w:lang w:val="en-US"/>
        </w:rPr>
        <w:t xml:space="preserve"> and</w:t>
      </w:r>
      <w:r w:rsidRPr="00B90B1C">
        <w:rPr>
          <w:bCs/>
          <w:iCs/>
          <w:szCs w:val="22"/>
          <w:lang w:val="en-US"/>
        </w:rPr>
        <w:t xml:space="preserve"> size of dwellings together with the requirement for ‘specialist’ housing suited to the needs of niche groups. </w:t>
      </w:r>
    </w:p>
    <w:p w:rsidR="00D416D0" w:rsidRPr="00C26717" w:rsidRDefault="00D416D0" w:rsidP="00C26717">
      <w:pPr>
        <w:pStyle w:val="Heading2"/>
        <w:rPr>
          <w:rFonts w:eastAsia="Times New Roman" w:cs="Times New Roman"/>
        </w:rPr>
      </w:pPr>
      <w:bookmarkStart w:id="73" w:name="_Toc504464722"/>
      <w:r w:rsidRPr="00C26717">
        <w:rPr>
          <w:rFonts w:eastAsia="Times New Roman"/>
        </w:rPr>
        <w:t>Tenure</w:t>
      </w:r>
      <w:bookmarkEnd w:id="73"/>
    </w:p>
    <w:p w:rsidR="00D416D0" w:rsidRDefault="00D416D0" w:rsidP="00C26717">
      <w:pPr>
        <w:pStyle w:val="ListNumber"/>
      </w:pPr>
      <w:r>
        <w:t>WWPC</w:t>
      </w:r>
      <w:r w:rsidRPr="00F02311">
        <w:rPr>
          <w:color w:val="FF0000"/>
        </w:rPr>
        <w:t xml:space="preserve"> </w:t>
      </w:r>
      <w:r w:rsidRPr="0087289E">
        <w:t>has expressed an interest in seeing mor</w:t>
      </w:r>
      <w:r>
        <w:t>e affordable housing in the NPA so as to support the viability of the settlement, particularly in respect of enabling young people living on modest incomes to find suitable housing in the NPA.</w:t>
      </w:r>
      <w:r w:rsidRPr="0087289E">
        <w:t xml:space="preserve"> </w:t>
      </w:r>
      <w:r>
        <w:t xml:space="preserve">There is an associated concern that market housing is predominantly targeted at the needs of people seeking second homes; this has led, for example, to the loss of council housing through right to buy, which has </w:t>
      </w:r>
      <w:r w:rsidR="00402B82">
        <w:t xml:space="preserve">subsequently </w:t>
      </w:r>
      <w:r>
        <w:t xml:space="preserve">been sold on as second homes. </w:t>
      </w:r>
    </w:p>
    <w:p w:rsidR="00D416D0" w:rsidRPr="0087289E" w:rsidRDefault="00D416D0" w:rsidP="00C26717">
      <w:pPr>
        <w:pStyle w:val="ListNumber"/>
      </w:pPr>
      <w:r w:rsidRPr="0087289E">
        <w:t xml:space="preserve">This study will therefore explore tenure mix with a particular focus on affordable housing including the role of </w:t>
      </w:r>
      <w:r>
        <w:t xml:space="preserve">shared ownership and discounted market housing suited to the needs of those doing vital but </w:t>
      </w:r>
      <w:r w:rsidR="00402B82">
        <w:t>relatively low</w:t>
      </w:r>
      <w:r>
        <w:t xml:space="preserve"> paid work, for example caring for the elderly. </w:t>
      </w:r>
    </w:p>
    <w:p w:rsidR="00D416D0" w:rsidRPr="00D416D0" w:rsidRDefault="00D416D0" w:rsidP="00D416D0">
      <w:pPr>
        <w:tabs>
          <w:tab w:val="clear" w:pos="284"/>
        </w:tabs>
        <w:spacing w:after="240" w:line="230" w:lineRule="exact"/>
        <w:outlineLvl w:val="4"/>
        <w:rPr>
          <w:rFonts w:ascii="Arial" w:eastAsia="Times New Roman" w:hAnsi="Arial" w:cs="Times New Roman"/>
          <w:bCs/>
          <w:i/>
          <w:iCs/>
          <w:szCs w:val="26"/>
        </w:rPr>
      </w:pPr>
      <w:r>
        <w:rPr>
          <w:rFonts w:ascii="Arial" w:eastAsia="Times New Roman" w:hAnsi="Arial" w:cs="Times New Roman"/>
          <w:bCs/>
          <w:i/>
          <w:iCs/>
          <w:szCs w:val="26"/>
        </w:rPr>
        <w:lastRenderedPageBreak/>
        <w:t xml:space="preserve">RQ2. </w:t>
      </w:r>
      <w:r w:rsidRPr="00D416D0">
        <w:rPr>
          <w:rFonts w:ascii="Arial" w:eastAsia="Times New Roman" w:hAnsi="Arial" w:cs="Times New Roman"/>
          <w:bCs/>
          <w:i/>
          <w:iCs/>
          <w:szCs w:val="26"/>
        </w:rPr>
        <w:t>What affordable housing (social housing, affordable rented, shared ownership, intermediate rented) and market tenures should be included in the housing mix?</w:t>
      </w:r>
    </w:p>
    <w:p w:rsidR="00D416D0" w:rsidRPr="0087289E" w:rsidRDefault="00D416D0" w:rsidP="00C26717">
      <w:pPr>
        <w:pStyle w:val="Heading2"/>
        <w:rPr>
          <w:rFonts w:eastAsia="Times New Roman"/>
        </w:rPr>
      </w:pPr>
      <w:bookmarkStart w:id="74" w:name="_Toc489984290"/>
      <w:bookmarkStart w:id="75" w:name="_Toc504464723"/>
      <w:r w:rsidRPr="0087289E">
        <w:rPr>
          <w:rFonts w:eastAsia="Times New Roman"/>
        </w:rPr>
        <w:t>Type and size</w:t>
      </w:r>
      <w:bookmarkEnd w:id="74"/>
      <w:bookmarkEnd w:id="75"/>
    </w:p>
    <w:p w:rsidR="00D416D0" w:rsidRPr="0087289E" w:rsidRDefault="00D416D0" w:rsidP="00C26717">
      <w:pPr>
        <w:pStyle w:val="ListNumber"/>
      </w:pPr>
      <w:r>
        <w:t xml:space="preserve">WWPC aspires to provide housing </w:t>
      </w:r>
      <w:r w:rsidR="00402B82">
        <w:t xml:space="preserve">suitable </w:t>
      </w:r>
      <w:r>
        <w:t xml:space="preserve">throughout </w:t>
      </w:r>
      <w:r w:rsidR="00402B82">
        <w:t>life</w:t>
      </w:r>
      <w:r>
        <w:t xml:space="preserve">, </w:t>
      </w:r>
      <w:r w:rsidR="00402B82">
        <w:t xml:space="preserve">so </w:t>
      </w:r>
      <w:r>
        <w:t xml:space="preserve">allowing </w:t>
      </w:r>
      <w:r w:rsidR="00402B82">
        <w:t xml:space="preserve">residents </w:t>
      </w:r>
      <w:r>
        <w:t xml:space="preserve">to stay in the village at every stage of their lives if they wish. There is an interest therefore to understand how this may be achieved through the delivery of dwellings of different types and sizes.   </w:t>
      </w:r>
    </w:p>
    <w:p w:rsidR="00D416D0" w:rsidRPr="00D416D0" w:rsidRDefault="00D416D0" w:rsidP="00D416D0">
      <w:pPr>
        <w:tabs>
          <w:tab w:val="clear" w:pos="284"/>
        </w:tabs>
        <w:spacing w:after="240" w:line="230" w:lineRule="exact"/>
        <w:outlineLvl w:val="4"/>
        <w:rPr>
          <w:rFonts w:ascii="Arial" w:eastAsia="Times New Roman" w:hAnsi="Arial" w:cs="Times New Roman"/>
          <w:bCs/>
          <w:i/>
          <w:iCs/>
          <w:szCs w:val="26"/>
        </w:rPr>
      </w:pPr>
      <w:r>
        <w:rPr>
          <w:rFonts w:ascii="Arial" w:eastAsia="Times New Roman" w:hAnsi="Arial" w:cs="Times New Roman"/>
          <w:bCs/>
          <w:i/>
          <w:iCs/>
          <w:szCs w:val="26"/>
        </w:rPr>
        <w:t xml:space="preserve">RQ3. </w:t>
      </w:r>
      <w:r w:rsidRPr="00D416D0">
        <w:rPr>
          <w:rFonts w:ascii="Arial" w:eastAsia="Times New Roman" w:hAnsi="Arial" w:cs="Times New Roman"/>
          <w:bCs/>
          <w:i/>
          <w:iCs/>
          <w:szCs w:val="26"/>
        </w:rPr>
        <w:t>What type (terrace, semi, bungalows, flats and detached) and size (number of habitable rooms) of housing is appropriate?</w:t>
      </w:r>
      <w:bookmarkStart w:id="76" w:name="_Toc489984291"/>
    </w:p>
    <w:p w:rsidR="00D416D0" w:rsidRPr="00C26717" w:rsidRDefault="00D416D0" w:rsidP="00C26717">
      <w:pPr>
        <w:pStyle w:val="Heading2"/>
        <w:rPr>
          <w:rFonts w:eastAsia="Times New Roman" w:cs="Times New Roman"/>
        </w:rPr>
      </w:pPr>
      <w:bookmarkStart w:id="77" w:name="_Toc504464724"/>
      <w:r w:rsidRPr="00C26717">
        <w:rPr>
          <w:rFonts w:eastAsia="Times New Roman"/>
        </w:rPr>
        <w:t xml:space="preserve">Housing for </w:t>
      </w:r>
      <w:bookmarkEnd w:id="76"/>
      <w:r w:rsidRPr="00C26717">
        <w:rPr>
          <w:rFonts w:eastAsia="Times New Roman"/>
        </w:rPr>
        <w:t>specialist groups</w:t>
      </w:r>
      <w:bookmarkEnd w:id="77"/>
    </w:p>
    <w:p w:rsidR="00D416D0" w:rsidRPr="007E60B0" w:rsidRDefault="00D416D0" w:rsidP="00C26717">
      <w:pPr>
        <w:pStyle w:val="ListNumber"/>
      </w:pPr>
      <w:r w:rsidRPr="007E60B0">
        <w:t>WWPC has commen</w:t>
      </w:r>
      <w:r>
        <w:t>ted that older people are under-</w:t>
      </w:r>
      <w:r w:rsidRPr="007E60B0">
        <w:t>served in the area as there are few suitable dwellings for people to ‘downsize’</w:t>
      </w:r>
      <w:r>
        <w:t xml:space="preserve"> into; in addition, there is limited provision of specialist housing for the elderly in West Wittering. </w:t>
      </w:r>
    </w:p>
    <w:p w:rsidR="00D416D0" w:rsidRPr="00D416D0" w:rsidRDefault="00D416D0" w:rsidP="00D416D0">
      <w:pPr>
        <w:tabs>
          <w:tab w:val="clear" w:pos="284"/>
        </w:tabs>
        <w:spacing w:after="240" w:line="276" w:lineRule="auto"/>
        <w:outlineLvl w:val="4"/>
        <w:rPr>
          <w:rFonts w:ascii="Arial" w:eastAsia="Times New Roman" w:hAnsi="Arial" w:cs="Times New Roman"/>
          <w:bCs/>
          <w:iCs/>
          <w:szCs w:val="26"/>
        </w:rPr>
      </w:pPr>
      <w:r>
        <w:rPr>
          <w:rFonts w:ascii="Arial" w:eastAsia="Times New Roman" w:hAnsi="Arial" w:cs="Times New Roman"/>
          <w:bCs/>
          <w:i/>
          <w:iCs/>
          <w:szCs w:val="26"/>
        </w:rPr>
        <w:t xml:space="preserve">RQ4. </w:t>
      </w:r>
      <w:r w:rsidRPr="00D416D0">
        <w:rPr>
          <w:rFonts w:ascii="Arial" w:eastAsia="Times New Roman" w:hAnsi="Arial" w:cs="Times New Roman"/>
          <w:bCs/>
          <w:i/>
          <w:iCs/>
          <w:szCs w:val="26"/>
        </w:rPr>
        <w:t>What provision should be made for specialist housing within the NPA?</w:t>
      </w:r>
    </w:p>
    <w:p w:rsidR="00E80CC8" w:rsidRPr="00E80CC8" w:rsidRDefault="00E80CC8" w:rsidP="00B90B1C">
      <w:pPr>
        <w:pStyle w:val="Heading2"/>
        <w:rPr>
          <w:lang w:val="en-US"/>
        </w:rPr>
      </w:pPr>
      <w:bookmarkStart w:id="78" w:name="_Toc425332015"/>
      <w:bookmarkStart w:id="79" w:name="_Toc461696217"/>
      <w:bookmarkStart w:id="80" w:name="_Toc504464725"/>
      <w:r w:rsidRPr="00E80CC8">
        <w:rPr>
          <w:lang w:val="en-US"/>
        </w:rPr>
        <w:t xml:space="preserve">Study </w:t>
      </w:r>
      <w:r w:rsidR="00402B82">
        <w:rPr>
          <w:lang w:val="en-US"/>
        </w:rPr>
        <w:t>o</w:t>
      </w:r>
      <w:r w:rsidRPr="00E80CC8">
        <w:rPr>
          <w:lang w:val="en-US"/>
        </w:rPr>
        <w:t>bjectives</w:t>
      </w:r>
      <w:bookmarkEnd w:id="78"/>
      <w:bookmarkEnd w:id="79"/>
      <w:bookmarkEnd w:id="80"/>
    </w:p>
    <w:p w:rsidR="00E80CC8" w:rsidRPr="00B90B1C" w:rsidRDefault="00E80CC8" w:rsidP="00B90B1C">
      <w:pPr>
        <w:pStyle w:val="ListNumber"/>
        <w:rPr>
          <w:lang w:val="en-US"/>
        </w:rPr>
      </w:pPr>
      <w:r w:rsidRPr="00B90B1C">
        <w:rPr>
          <w:lang w:val="en-US"/>
        </w:rPr>
        <w:t xml:space="preserve">The objectives of this </w:t>
      </w:r>
      <w:r w:rsidR="00402B82">
        <w:rPr>
          <w:lang w:val="en-US"/>
        </w:rPr>
        <w:t>assessment</w:t>
      </w:r>
      <w:r w:rsidR="00402B82" w:rsidRPr="00B90B1C">
        <w:rPr>
          <w:lang w:val="en-US"/>
        </w:rPr>
        <w:t xml:space="preserve"> </w:t>
      </w:r>
      <w:r w:rsidRPr="00B90B1C">
        <w:rPr>
          <w:lang w:val="en-US"/>
        </w:rPr>
        <w:t>can be summarised as:</w:t>
      </w:r>
    </w:p>
    <w:p w:rsidR="00E80CC8" w:rsidRPr="00B90B1C" w:rsidRDefault="006620BC" w:rsidP="00C57544">
      <w:pPr>
        <w:pStyle w:val="BodyText"/>
        <w:numPr>
          <w:ilvl w:val="0"/>
          <w:numId w:val="22"/>
        </w:numPr>
        <w:rPr>
          <w:bCs/>
          <w:iCs/>
          <w:lang w:val="en-US"/>
        </w:rPr>
      </w:pPr>
      <w:r>
        <w:rPr>
          <w:bCs/>
          <w:iCs/>
          <w:lang w:val="en-US"/>
        </w:rPr>
        <w:t>c</w:t>
      </w:r>
      <w:r w:rsidR="00E80CC8" w:rsidRPr="00B90B1C">
        <w:rPr>
          <w:bCs/>
          <w:iCs/>
          <w:lang w:val="en-US"/>
        </w:rPr>
        <w:t>ollation of a range of data with relevance to housing need in</w:t>
      </w:r>
      <w:r w:rsidR="00DC7A83">
        <w:rPr>
          <w:bCs/>
          <w:iCs/>
          <w:lang w:val="en-US"/>
        </w:rPr>
        <w:t xml:space="preserve"> West </w:t>
      </w:r>
      <w:proofErr w:type="spellStart"/>
      <w:r w:rsidR="00DC7A83">
        <w:rPr>
          <w:bCs/>
          <w:iCs/>
          <w:lang w:val="en-US"/>
        </w:rPr>
        <w:t>Wittering</w:t>
      </w:r>
      <w:proofErr w:type="spellEnd"/>
      <w:r w:rsidR="00E80CC8" w:rsidRPr="00B90B1C">
        <w:rPr>
          <w:bCs/>
          <w:iCs/>
          <w:lang w:val="en-US"/>
        </w:rPr>
        <w:t xml:space="preserve"> relative to </w:t>
      </w:r>
      <w:proofErr w:type="spellStart"/>
      <w:r w:rsidR="00DC7A83">
        <w:rPr>
          <w:bCs/>
          <w:iCs/>
          <w:lang w:val="en-US"/>
        </w:rPr>
        <w:t>Chichester</w:t>
      </w:r>
      <w:proofErr w:type="spellEnd"/>
      <w:r>
        <w:rPr>
          <w:bCs/>
          <w:iCs/>
          <w:lang w:val="en-US"/>
        </w:rPr>
        <w:t>;</w:t>
      </w:r>
    </w:p>
    <w:p w:rsidR="00E80CC8" w:rsidRPr="00B90B1C" w:rsidRDefault="006620BC" w:rsidP="00C57544">
      <w:pPr>
        <w:pStyle w:val="BodyText"/>
        <w:numPr>
          <w:ilvl w:val="0"/>
          <w:numId w:val="22"/>
        </w:numPr>
        <w:rPr>
          <w:bCs/>
          <w:iCs/>
          <w:lang w:val="en-US"/>
        </w:rPr>
      </w:pPr>
      <w:r>
        <w:rPr>
          <w:bCs/>
          <w:iCs/>
          <w:lang w:val="en-US"/>
        </w:rPr>
        <w:t>a</w:t>
      </w:r>
      <w:r w:rsidR="00E80CC8" w:rsidRPr="00B90B1C">
        <w:rPr>
          <w:bCs/>
          <w:iCs/>
          <w:lang w:val="en-US"/>
        </w:rPr>
        <w:t>nalysis of that data to determine patterns of housing need and demand;</w:t>
      </w:r>
      <w:r>
        <w:rPr>
          <w:bCs/>
          <w:iCs/>
          <w:lang w:val="en-US"/>
        </w:rPr>
        <w:t xml:space="preserve"> and</w:t>
      </w:r>
    </w:p>
    <w:p w:rsidR="00E80CC8" w:rsidRPr="00B90B1C" w:rsidRDefault="006620BC" w:rsidP="00C57544">
      <w:pPr>
        <w:pStyle w:val="BodyText"/>
        <w:numPr>
          <w:ilvl w:val="0"/>
          <w:numId w:val="22"/>
        </w:numPr>
        <w:rPr>
          <w:bCs/>
          <w:iCs/>
          <w:lang w:val="en-US"/>
        </w:rPr>
      </w:pPr>
      <w:proofErr w:type="gramStart"/>
      <w:r>
        <w:rPr>
          <w:bCs/>
          <w:iCs/>
          <w:lang w:val="en-US"/>
        </w:rPr>
        <w:t>s</w:t>
      </w:r>
      <w:r w:rsidR="00E80CC8" w:rsidRPr="00B90B1C">
        <w:rPr>
          <w:bCs/>
          <w:iCs/>
          <w:lang w:val="en-US"/>
        </w:rPr>
        <w:t>etting</w:t>
      </w:r>
      <w:proofErr w:type="gramEnd"/>
      <w:r w:rsidR="00E80CC8" w:rsidRPr="00B90B1C">
        <w:rPr>
          <w:bCs/>
          <w:iCs/>
          <w:lang w:val="en-US"/>
        </w:rPr>
        <w:t xml:space="preserve"> out recommendations based on our data analysis that can be used to inform the Neighbourhood Plan’s housing policies.</w:t>
      </w:r>
    </w:p>
    <w:p w:rsidR="00E80CC8" w:rsidRPr="00B25544" w:rsidRDefault="00E80CC8" w:rsidP="00B25544">
      <w:pPr>
        <w:pStyle w:val="ListNumber"/>
        <w:rPr>
          <w:lang w:val="en-US"/>
        </w:rPr>
      </w:pPr>
      <w:r w:rsidRPr="00B90B1C">
        <w:rPr>
          <w:lang w:val="en-US"/>
        </w:rPr>
        <w:t>The remainder of this report is structured arou</w:t>
      </w:r>
      <w:r w:rsidR="00B25544">
        <w:rPr>
          <w:lang w:val="en-US"/>
        </w:rPr>
        <w:t xml:space="preserve">nd the objectives set out </w:t>
      </w:r>
      <w:proofErr w:type="spellStart"/>
      <w:r w:rsidR="00B25544">
        <w:rPr>
          <w:lang w:val="en-US"/>
        </w:rPr>
        <w:t>abov</w:t>
      </w:r>
      <w:proofErr w:type="spellEnd"/>
      <w:r w:rsidR="00B25544">
        <w:rPr>
          <w:lang w:val="en-US"/>
        </w:rPr>
        <w:t>, whilst chapter 9</w:t>
      </w:r>
      <w:r w:rsidRPr="00B25544">
        <w:rPr>
          <w:bCs/>
          <w:iCs/>
          <w:lang w:val="en-US"/>
        </w:rPr>
        <w:t xml:space="preserve"> sets out our conclusions and recommendations based on our data analysis that can be used to inform the Neighbourhood Plan’s housing policies. </w:t>
      </w:r>
    </w:p>
    <w:p w:rsidR="00B25544" w:rsidRDefault="00B25544">
      <w:pPr>
        <w:tabs>
          <w:tab w:val="clear" w:pos="284"/>
        </w:tabs>
        <w:spacing w:line="240" w:lineRule="auto"/>
        <w:rPr>
          <w:rFonts w:asciiTheme="majorHAnsi" w:eastAsiaTheme="majorEastAsia" w:hAnsiTheme="majorHAnsi" w:cstheme="majorBidi"/>
          <w:b/>
          <w:bCs/>
          <w:color w:val="00B5E2" w:themeColor="accent1"/>
          <w:sz w:val="30"/>
          <w:szCs w:val="28"/>
        </w:rPr>
      </w:pPr>
      <w:bookmarkStart w:id="81" w:name="_Toc504464726"/>
      <w:r>
        <w:br w:type="page"/>
      </w:r>
    </w:p>
    <w:p w:rsidR="00E858D8" w:rsidRPr="00B25544" w:rsidRDefault="00E858D8" w:rsidP="00B25544">
      <w:pPr>
        <w:pStyle w:val="Heading1"/>
      </w:pPr>
      <w:r w:rsidRPr="00B25544">
        <w:lastRenderedPageBreak/>
        <w:t>Relevant Data</w:t>
      </w:r>
      <w:bookmarkEnd w:id="81"/>
    </w:p>
    <w:p w:rsidR="00E858D8" w:rsidRPr="00B64350" w:rsidRDefault="00E858D8" w:rsidP="00B64350">
      <w:pPr>
        <w:pStyle w:val="Heading2"/>
        <w:numPr>
          <w:ilvl w:val="1"/>
          <w:numId w:val="39"/>
        </w:numPr>
        <w:rPr>
          <w:lang w:val="en-US"/>
        </w:rPr>
      </w:pPr>
      <w:bookmarkStart w:id="82" w:name="_Toc504464727"/>
      <w:r w:rsidRPr="00B64350">
        <w:rPr>
          <w:lang w:val="en-US"/>
        </w:rPr>
        <w:t>SHMA</w:t>
      </w:r>
      <w:bookmarkEnd w:id="82"/>
    </w:p>
    <w:p w:rsidR="0087026F" w:rsidRPr="00D25C66" w:rsidRDefault="00E858D8" w:rsidP="0087026F">
      <w:pPr>
        <w:pStyle w:val="ListNumber"/>
        <w:rPr>
          <w:color w:val="FF0000"/>
          <w:lang w:val="en-US"/>
        </w:rPr>
      </w:pPr>
      <w:r w:rsidRPr="0087026F">
        <w:rPr>
          <w:lang w:val="en-US"/>
        </w:rPr>
        <w:t>The PPG states that neighbourhood planners can refer to existing needs assessment</w:t>
      </w:r>
      <w:r w:rsidR="00BA1D3D">
        <w:rPr>
          <w:lang w:val="en-US"/>
        </w:rPr>
        <w:t>s</w:t>
      </w:r>
      <w:r w:rsidRPr="0087026F">
        <w:rPr>
          <w:lang w:val="en-US"/>
        </w:rPr>
        <w:t xml:space="preserve"> prepared by the local planning authority as a starting point. </w:t>
      </w:r>
      <w:r w:rsidR="00B64350" w:rsidRPr="0087026F">
        <w:rPr>
          <w:lang w:val="en-US"/>
        </w:rPr>
        <w:t xml:space="preserve">The Strategic Market Housing Assessment (SHMA) employed by the CDC to support their housing policies, the Coastal West Sussex SHMA, published in November 2012 (CWSS12), based on an analysis of migration and commuting patterns together with house price differentials, identifies </w:t>
      </w:r>
      <w:r w:rsidR="00B64350" w:rsidRPr="0087026F">
        <w:rPr>
          <w:i/>
          <w:lang w:val="en-US"/>
        </w:rPr>
        <w:t xml:space="preserve">‘a Sussex Coast Housing Market stretching from Seaford in the east to West </w:t>
      </w:r>
      <w:proofErr w:type="spellStart"/>
      <w:r w:rsidR="00B64350" w:rsidRPr="0087026F">
        <w:rPr>
          <w:i/>
          <w:lang w:val="en-US"/>
        </w:rPr>
        <w:t>Wittering</w:t>
      </w:r>
      <w:proofErr w:type="spellEnd"/>
      <w:r w:rsidR="00B64350" w:rsidRPr="0087026F">
        <w:rPr>
          <w:i/>
          <w:lang w:val="en-US"/>
        </w:rPr>
        <w:t xml:space="preserve"> in the West along the Coast</w:t>
      </w:r>
      <w:r w:rsidR="0087026F">
        <w:rPr>
          <w:i/>
          <w:lang w:val="en-US"/>
        </w:rPr>
        <w:t>….</w:t>
      </w:r>
      <w:r w:rsidR="0087026F" w:rsidRPr="0087026F">
        <w:t xml:space="preserve"> </w:t>
      </w:r>
      <w:r w:rsidR="0087026F" w:rsidRPr="0087026F">
        <w:rPr>
          <w:i/>
          <w:color w:val="000000" w:themeColor="text1"/>
          <w:lang w:val="en-US"/>
        </w:rPr>
        <w:t xml:space="preserve">The housing market includes the local authorities of </w:t>
      </w:r>
      <w:proofErr w:type="spellStart"/>
      <w:r w:rsidR="0087026F" w:rsidRPr="0087026F">
        <w:rPr>
          <w:i/>
          <w:color w:val="000000" w:themeColor="text1"/>
          <w:lang w:val="en-US"/>
        </w:rPr>
        <w:t>Chichester</w:t>
      </w:r>
      <w:proofErr w:type="spellEnd"/>
      <w:r w:rsidR="0087026F" w:rsidRPr="0087026F">
        <w:rPr>
          <w:i/>
          <w:color w:val="000000" w:themeColor="text1"/>
          <w:lang w:val="en-US"/>
        </w:rPr>
        <w:t xml:space="preserve">, </w:t>
      </w:r>
      <w:proofErr w:type="spellStart"/>
      <w:r w:rsidR="0087026F" w:rsidRPr="0087026F">
        <w:rPr>
          <w:i/>
          <w:color w:val="000000" w:themeColor="text1"/>
          <w:lang w:val="en-US"/>
        </w:rPr>
        <w:t>Arun</w:t>
      </w:r>
      <w:proofErr w:type="spellEnd"/>
      <w:r w:rsidR="0087026F" w:rsidRPr="0087026F">
        <w:rPr>
          <w:i/>
          <w:color w:val="000000" w:themeColor="text1"/>
          <w:lang w:val="en-US"/>
        </w:rPr>
        <w:t xml:space="preserve">, </w:t>
      </w:r>
      <w:proofErr w:type="spellStart"/>
      <w:r w:rsidR="0087026F" w:rsidRPr="0087026F">
        <w:rPr>
          <w:i/>
          <w:color w:val="000000" w:themeColor="text1"/>
          <w:lang w:val="en-US"/>
        </w:rPr>
        <w:t>Worthing</w:t>
      </w:r>
      <w:proofErr w:type="spellEnd"/>
      <w:r w:rsidR="0087026F" w:rsidRPr="0087026F">
        <w:rPr>
          <w:i/>
          <w:color w:val="000000" w:themeColor="text1"/>
          <w:lang w:val="en-US"/>
        </w:rPr>
        <w:t xml:space="preserve">, </w:t>
      </w:r>
      <w:proofErr w:type="spellStart"/>
      <w:r w:rsidR="0087026F" w:rsidRPr="0087026F">
        <w:rPr>
          <w:i/>
          <w:color w:val="000000" w:themeColor="text1"/>
          <w:lang w:val="en-US"/>
        </w:rPr>
        <w:t>Adur</w:t>
      </w:r>
      <w:proofErr w:type="spellEnd"/>
      <w:r w:rsidR="0087026F" w:rsidRPr="0087026F">
        <w:rPr>
          <w:i/>
          <w:color w:val="000000" w:themeColor="text1"/>
          <w:lang w:val="en-US"/>
        </w:rPr>
        <w:t>, Brighton and Hove and Lewes.</w:t>
      </w:r>
      <w:r w:rsidR="00B64350" w:rsidRPr="0087026F">
        <w:rPr>
          <w:i/>
          <w:lang w:val="en-US"/>
        </w:rPr>
        <w:t>’</w:t>
      </w:r>
      <w:r w:rsidR="00B64350" w:rsidRPr="0087026F">
        <w:rPr>
          <w:rStyle w:val="FootnoteReference"/>
          <w:i/>
          <w:color w:val="000000" w:themeColor="text1"/>
          <w:lang w:val="en-US"/>
        </w:rPr>
        <w:footnoteReference w:id="6"/>
      </w:r>
      <w:r w:rsidR="00B64350" w:rsidRPr="0087026F">
        <w:rPr>
          <w:lang w:val="en-US"/>
        </w:rPr>
        <w:t xml:space="preserve">  It is therefore reasonable to turn to this, together with updates to this document, the Review of Objectively Assessed Housing Need in light of 2012-based Sub</w:t>
      </w:r>
      <w:r w:rsidR="006620BC">
        <w:rPr>
          <w:lang w:val="en-US"/>
        </w:rPr>
        <w:t>-</w:t>
      </w:r>
      <w:r w:rsidR="00B64350" w:rsidRPr="0087026F">
        <w:rPr>
          <w:lang w:val="en-US"/>
        </w:rPr>
        <w:t>national Population Projections, publ</w:t>
      </w:r>
      <w:r w:rsidR="00BA1D3D">
        <w:rPr>
          <w:lang w:val="en-US"/>
        </w:rPr>
        <w:t>ished in August 20</w:t>
      </w:r>
      <w:r w:rsidR="00B64350" w:rsidRPr="0087026F">
        <w:rPr>
          <w:lang w:val="en-US"/>
        </w:rPr>
        <w:t xml:space="preserve">14 (ROANH14), and the </w:t>
      </w:r>
      <w:r w:rsidR="0087026F" w:rsidRPr="0087026F">
        <w:rPr>
          <w:lang w:val="en-US"/>
        </w:rPr>
        <w:t>Assessment of Housing Development Needs Study, published in April 2014 (AHDNS14)</w:t>
      </w:r>
      <w:r w:rsidR="0087026F">
        <w:rPr>
          <w:lang w:val="en-US"/>
        </w:rPr>
        <w:t xml:space="preserve"> in search of relevant evidence to respond to the Research Questions posed in this HNA. These studies are referred to henceforward as the ‘SHMA studies.’ </w:t>
      </w:r>
    </w:p>
    <w:p w:rsidR="00D25C66" w:rsidRPr="00183753" w:rsidRDefault="00D25C66" w:rsidP="00D25C66">
      <w:pPr>
        <w:pStyle w:val="ListNumber"/>
      </w:pPr>
      <w:r w:rsidRPr="00183753">
        <w:t>PPG defines a</w:t>
      </w:r>
      <w:r>
        <w:t>n</w:t>
      </w:r>
      <w:r w:rsidRPr="00183753">
        <w:t xml:space="preserve"> HMA as a geographical area ‘defined by </w:t>
      </w:r>
      <w:r w:rsidRPr="00183753">
        <w:rPr>
          <w:u w:val="single"/>
        </w:rPr>
        <w:t>household demand</w:t>
      </w:r>
      <w:r w:rsidRPr="00183753">
        <w:t xml:space="preserve"> and preferences for all types of housing, reflecting the </w:t>
      </w:r>
      <w:r w:rsidRPr="00183753">
        <w:rPr>
          <w:u w:val="single"/>
        </w:rPr>
        <w:t>key functional linkages</w:t>
      </w:r>
      <w:r w:rsidRPr="00183753">
        <w:t xml:space="preserve"> between places where people live and work.’</w:t>
      </w:r>
      <w:r w:rsidRPr="00183753">
        <w:rPr>
          <w:rStyle w:val="FootnoteReference"/>
          <w:rFonts w:ascii="Arial" w:hAnsi="Arial" w:cs="Arial"/>
          <w:szCs w:val="24"/>
        </w:rPr>
        <w:footnoteReference w:id="7"/>
      </w:r>
      <w:r w:rsidRPr="00183753">
        <w:t xml:space="preserve"> It goes on to remark that ‘establishing the assessment area may identify </w:t>
      </w:r>
      <w:r w:rsidRPr="00183753">
        <w:rPr>
          <w:u w:val="single"/>
        </w:rPr>
        <w:t>smaller sub-markets with specific features</w:t>
      </w:r>
      <w:r w:rsidRPr="00183753">
        <w:t>, and it may be appropriate to investigate these specifically in order to create a detailed picture of local need. It is important also to recognise that there are ‘</w:t>
      </w:r>
      <w:r w:rsidRPr="00183753">
        <w:rPr>
          <w:u w:val="single"/>
        </w:rPr>
        <w:t>market segments</w:t>
      </w:r>
      <w:r w:rsidRPr="00183753">
        <w:t xml:space="preserve">,’ i.e. not all housing types or economic </w:t>
      </w:r>
      <w:proofErr w:type="gramStart"/>
      <w:r w:rsidRPr="00183753">
        <w:t>development have</w:t>
      </w:r>
      <w:proofErr w:type="gramEnd"/>
      <w:r w:rsidRPr="00183753">
        <w:t xml:space="preserve"> the same appeal to different occupants.’</w:t>
      </w:r>
      <w:r w:rsidRPr="00183753">
        <w:rPr>
          <w:rStyle w:val="FootnoteReference"/>
          <w:rFonts w:ascii="Arial" w:hAnsi="Arial" w:cs="Arial"/>
          <w:szCs w:val="24"/>
        </w:rPr>
        <w:footnoteReference w:id="8"/>
      </w:r>
      <w:r w:rsidRPr="00183753">
        <w:t xml:space="preserve"> </w:t>
      </w:r>
    </w:p>
    <w:p w:rsidR="00D25C66" w:rsidRPr="00D25C66" w:rsidRDefault="00D25C66" w:rsidP="00D25C66">
      <w:pPr>
        <w:pStyle w:val="ListNumber"/>
      </w:pPr>
      <w:r w:rsidRPr="00183753">
        <w:t>PPG therefore sets two principle tests for identifying a functional HMA</w:t>
      </w:r>
      <w:r>
        <w:t>:</w:t>
      </w:r>
      <w:r w:rsidRPr="00183753">
        <w:t xml:space="preserve"> patterns of demand for housing and commuting relationships. The first can be denoted by the concept of ‘self-containment</w:t>
      </w:r>
      <w:r w:rsidR="00AE41A5">
        <w:t>’</w:t>
      </w:r>
      <w:r w:rsidRPr="00183753">
        <w:t xml:space="preserve">, the degree to which household moves are contained within a certain geographical area, and the second </w:t>
      </w:r>
      <w:r>
        <w:t>by ‘travel to work areas</w:t>
      </w:r>
      <w:r w:rsidR="00AE41A5">
        <w:t>’</w:t>
      </w:r>
      <w:r>
        <w:t xml:space="preserve">.  It is </w:t>
      </w:r>
      <w:r w:rsidRPr="00183753">
        <w:t xml:space="preserve">generally assumed that </w:t>
      </w:r>
      <w:r>
        <w:t xml:space="preserve">a strong HMA will show </w:t>
      </w:r>
      <w:r w:rsidRPr="00183753">
        <w:t xml:space="preserve">70% of household moves </w:t>
      </w:r>
      <w:r w:rsidR="00AE41A5">
        <w:t>to</w:t>
      </w:r>
      <w:r w:rsidRPr="00183753">
        <w:t xml:space="preserve"> be c</w:t>
      </w:r>
      <w:r>
        <w:t>ontained within it</w:t>
      </w:r>
      <w:r w:rsidRPr="00183753">
        <w:t>.</w:t>
      </w:r>
    </w:p>
    <w:p w:rsidR="00E858D8" w:rsidRPr="00B64350" w:rsidRDefault="00D25C66" w:rsidP="00B64350">
      <w:pPr>
        <w:pStyle w:val="ListNumber"/>
        <w:rPr>
          <w:color w:val="FF0000"/>
          <w:lang w:val="en-US"/>
        </w:rPr>
      </w:pPr>
      <w:r>
        <w:rPr>
          <w:color w:val="000000" w:themeColor="text1"/>
          <w:lang w:val="en-US"/>
        </w:rPr>
        <w:t xml:space="preserve">In the case of West </w:t>
      </w:r>
      <w:proofErr w:type="spellStart"/>
      <w:r>
        <w:rPr>
          <w:color w:val="000000" w:themeColor="text1"/>
          <w:lang w:val="en-US"/>
        </w:rPr>
        <w:t>Wittering</w:t>
      </w:r>
      <w:proofErr w:type="spellEnd"/>
      <w:r>
        <w:rPr>
          <w:color w:val="000000" w:themeColor="text1"/>
          <w:lang w:val="en-US"/>
        </w:rPr>
        <w:t>, the</w:t>
      </w:r>
      <w:r w:rsidR="0087026F">
        <w:rPr>
          <w:color w:val="000000" w:themeColor="text1"/>
          <w:lang w:val="en-US"/>
        </w:rPr>
        <w:t xml:space="preserve"> SHMA studies provides a finer grain analysis, producing data within ‘sub-areas’ of which the constituent local authorities are made up. The relevant sub-area for West </w:t>
      </w:r>
      <w:proofErr w:type="spellStart"/>
      <w:r w:rsidR="0087026F">
        <w:rPr>
          <w:color w:val="000000" w:themeColor="text1"/>
          <w:lang w:val="en-US"/>
        </w:rPr>
        <w:t>Wittering</w:t>
      </w:r>
      <w:proofErr w:type="spellEnd"/>
      <w:r w:rsidR="0087026F">
        <w:rPr>
          <w:color w:val="000000" w:themeColor="text1"/>
          <w:lang w:val="en-US"/>
        </w:rPr>
        <w:t xml:space="preserve"> is </w:t>
      </w:r>
      <w:proofErr w:type="spellStart"/>
      <w:r w:rsidR="0087026F">
        <w:rPr>
          <w:color w:val="000000" w:themeColor="text1"/>
          <w:lang w:val="en-US"/>
        </w:rPr>
        <w:t>Chichester</w:t>
      </w:r>
      <w:proofErr w:type="spellEnd"/>
      <w:r w:rsidR="0087026F">
        <w:rPr>
          <w:color w:val="000000" w:themeColor="text1"/>
          <w:lang w:val="en-US"/>
        </w:rPr>
        <w:t xml:space="preserve"> South.</w:t>
      </w:r>
      <w:r w:rsidR="0087026F">
        <w:rPr>
          <w:rStyle w:val="FootnoteReference"/>
          <w:lang w:val="en-US"/>
        </w:rPr>
        <w:footnoteReference w:id="9"/>
      </w:r>
      <w:r w:rsidR="0087026F">
        <w:rPr>
          <w:color w:val="000000" w:themeColor="text1"/>
          <w:lang w:val="en-US"/>
        </w:rPr>
        <w:t xml:space="preserve"> </w:t>
      </w:r>
    </w:p>
    <w:p w:rsidR="009F367B" w:rsidRDefault="00E858D8" w:rsidP="00047FDB">
      <w:pPr>
        <w:pStyle w:val="ListNumber"/>
        <w:rPr>
          <w:lang w:val="en-US"/>
        </w:rPr>
      </w:pPr>
      <w:r w:rsidRPr="00E858D8">
        <w:rPr>
          <w:lang w:val="en-US"/>
        </w:rPr>
        <w:t xml:space="preserve">The SHMA </w:t>
      </w:r>
      <w:r w:rsidR="00D25C66">
        <w:rPr>
          <w:lang w:val="en-US"/>
        </w:rPr>
        <w:t>studies draw</w:t>
      </w:r>
      <w:r w:rsidRPr="00E858D8">
        <w:rPr>
          <w:lang w:val="en-US"/>
        </w:rPr>
        <w:t xml:space="preserve"> upon a range of data including population </w:t>
      </w:r>
      <w:r w:rsidR="009F367B">
        <w:rPr>
          <w:lang w:val="en-US"/>
        </w:rPr>
        <w:t xml:space="preserve">and demographic </w:t>
      </w:r>
      <w:r w:rsidRPr="00E858D8">
        <w:rPr>
          <w:lang w:val="en-US"/>
        </w:rPr>
        <w:t>projections, housing market transactions and employment scenarios to derive the objectively-assessed housing need</w:t>
      </w:r>
      <w:r w:rsidR="009F367B">
        <w:rPr>
          <w:lang w:val="en-US"/>
        </w:rPr>
        <w:t xml:space="preserve"> for the </w:t>
      </w:r>
      <w:r w:rsidR="005F5CF8">
        <w:rPr>
          <w:lang w:val="en-US"/>
        </w:rPr>
        <w:t>District</w:t>
      </w:r>
      <w:r w:rsidRPr="00E858D8">
        <w:rPr>
          <w:lang w:val="en-US"/>
        </w:rPr>
        <w:t xml:space="preserve">. As such, it contains a number of points of relevance when determining </w:t>
      </w:r>
      <w:r w:rsidR="009F367B">
        <w:rPr>
          <w:lang w:val="en-US"/>
        </w:rPr>
        <w:t xml:space="preserve">housing need within the NPA. </w:t>
      </w:r>
    </w:p>
    <w:p w:rsidR="0024353A" w:rsidRPr="009F367B" w:rsidRDefault="009F367B" w:rsidP="009F367B">
      <w:pPr>
        <w:pStyle w:val="ListNumber"/>
        <w:rPr>
          <w:lang w:val="en-US"/>
        </w:rPr>
      </w:pPr>
      <w:r w:rsidRPr="009F367B">
        <w:rPr>
          <w:lang w:val="en-US"/>
        </w:rPr>
        <w:t xml:space="preserve">This provides a strong starting point for </w:t>
      </w:r>
      <w:r>
        <w:rPr>
          <w:lang w:val="en-US"/>
        </w:rPr>
        <w:t xml:space="preserve">policy development that aims to build on and add local specificity to those </w:t>
      </w:r>
      <w:r w:rsidR="00785E66">
        <w:rPr>
          <w:lang w:val="en-US"/>
        </w:rPr>
        <w:t xml:space="preserve">policies </w:t>
      </w:r>
      <w:r>
        <w:rPr>
          <w:lang w:val="en-US"/>
        </w:rPr>
        <w:t>of the</w:t>
      </w:r>
      <w:r w:rsidR="0016203A">
        <w:rPr>
          <w:lang w:val="en-US"/>
        </w:rPr>
        <w:t xml:space="preserve"> LPA</w:t>
      </w:r>
      <w:r>
        <w:rPr>
          <w:lang w:val="en-US"/>
        </w:rPr>
        <w:t xml:space="preserve"> by </w:t>
      </w:r>
      <w:r w:rsidR="00807A04">
        <w:rPr>
          <w:lang w:val="en-US"/>
        </w:rPr>
        <w:t>enabling a</w:t>
      </w:r>
      <w:r>
        <w:rPr>
          <w:lang w:val="en-US"/>
        </w:rPr>
        <w:t xml:space="preserve"> comparison </w:t>
      </w:r>
      <w:r w:rsidR="00807A04">
        <w:rPr>
          <w:lang w:val="en-US"/>
        </w:rPr>
        <w:t>to be made</w:t>
      </w:r>
      <w:r>
        <w:rPr>
          <w:lang w:val="en-US"/>
        </w:rPr>
        <w:t xml:space="preserve"> </w:t>
      </w:r>
      <w:r w:rsidR="00807A04">
        <w:rPr>
          <w:lang w:val="en-US"/>
        </w:rPr>
        <w:t>with</w:t>
      </w:r>
      <w:r>
        <w:rPr>
          <w:lang w:val="en-US"/>
        </w:rPr>
        <w:t xml:space="preserve"> </w:t>
      </w:r>
      <w:r w:rsidR="005F5CF8">
        <w:rPr>
          <w:lang w:val="en-US"/>
        </w:rPr>
        <w:t>Parish</w:t>
      </w:r>
      <w:r w:rsidRPr="009F367B">
        <w:rPr>
          <w:lang w:val="en-US"/>
        </w:rPr>
        <w:t>-level data</w:t>
      </w:r>
      <w:r w:rsidR="00807A04">
        <w:rPr>
          <w:lang w:val="en-US"/>
        </w:rPr>
        <w:t xml:space="preserve"> (gathered as part of the preparation of this study)</w:t>
      </w:r>
      <w:r>
        <w:rPr>
          <w:lang w:val="en-US"/>
        </w:rPr>
        <w:t xml:space="preserve">, given that such an exercise reveals contrasts as well as similarities. </w:t>
      </w:r>
    </w:p>
    <w:p w:rsidR="00C26717" w:rsidRDefault="00C26717">
      <w:pPr>
        <w:tabs>
          <w:tab w:val="clear" w:pos="284"/>
        </w:tabs>
        <w:spacing w:line="240" w:lineRule="auto"/>
        <w:rPr>
          <w:b/>
          <w:i/>
        </w:rPr>
      </w:pPr>
      <w:bookmarkStart w:id="83" w:name="_Toc425332018"/>
      <w:r>
        <w:rPr>
          <w:b/>
          <w:i/>
        </w:rPr>
        <w:br w:type="page"/>
      </w:r>
    </w:p>
    <w:p w:rsidR="0024353A" w:rsidRPr="009C7E35" w:rsidRDefault="0024353A" w:rsidP="00C26717">
      <w:pPr>
        <w:pStyle w:val="Heading1"/>
      </w:pPr>
      <w:bookmarkStart w:id="84" w:name="_Toc504464728"/>
      <w:r w:rsidRPr="009C7E35">
        <w:lastRenderedPageBreak/>
        <w:t>RQ1. What quantity of housing is appropriate for the NPA?</w:t>
      </w:r>
      <w:bookmarkEnd w:id="84"/>
    </w:p>
    <w:p w:rsidR="0024353A" w:rsidRPr="00D416D0" w:rsidRDefault="0024353A" w:rsidP="0024353A">
      <w:pPr>
        <w:pStyle w:val="ListNumber"/>
        <w:numPr>
          <w:ilvl w:val="0"/>
          <w:numId w:val="0"/>
        </w:numPr>
        <w:ind w:left="425" w:hanging="425"/>
        <w:rPr>
          <w:i/>
        </w:rPr>
      </w:pPr>
    </w:p>
    <w:p w:rsidR="00654232" w:rsidRPr="002F1F02" w:rsidRDefault="00654232" w:rsidP="00C26717">
      <w:pPr>
        <w:pStyle w:val="ListNumber"/>
      </w:pPr>
      <w:r w:rsidRPr="002F1F02">
        <w:t xml:space="preserve">We have estimated the quantity of housing needed in the NPA according to four different sources; these are: </w:t>
      </w:r>
    </w:p>
    <w:p w:rsidR="00654232" w:rsidRPr="002F1F02" w:rsidRDefault="00654232" w:rsidP="00C26717">
      <w:pPr>
        <w:pStyle w:val="ListNumber2"/>
      </w:pPr>
      <w:r w:rsidRPr="002F1F02">
        <w:t xml:space="preserve">Chichester Local Plan minimum derived figure generates a target of </w:t>
      </w:r>
      <w:r w:rsidR="00CE1306" w:rsidRPr="002F1F02">
        <w:rPr>
          <w:b/>
        </w:rPr>
        <w:t xml:space="preserve">139 </w:t>
      </w:r>
      <w:r w:rsidR="00CE1306" w:rsidRPr="002F1F02">
        <w:t xml:space="preserve">dwellings over the </w:t>
      </w:r>
      <w:r w:rsidR="000375DA">
        <w:t>Plan period</w:t>
      </w:r>
      <w:r w:rsidR="00CE1306" w:rsidRPr="002F1F02">
        <w:t xml:space="preserve"> 2018-2033, or </w:t>
      </w:r>
      <w:r w:rsidR="002F1F02">
        <w:t>9</w:t>
      </w:r>
      <w:r w:rsidR="005750DE">
        <w:t xml:space="preserve"> </w:t>
      </w:r>
      <w:proofErr w:type="spellStart"/>
      <w:r w:rsidR="00CE1306" w:rsidRPr="002F1F02">
        <w:t>dpa</w:t>
      </w:r>
      <w:proofErr w:type="spellEnd"/>
      <w:r w:rsidRPr="002F1F02">
        <w:t>;</w:t>
      </w:r>
    </w:p>
    <w:p w:rsidR="00654232" w:rsidRPr="002F1F02" w:rsidRDefault="002F1F02" w:rsidP="00C26717">
      <w:pPr>
        <w:pStyle w:val="ListNumber2"/>
        <w:rPr>
          <w:bCs/>
          <w:iCs/>
        </w:rPr>
      </w:pPr>
      <w:r w:rsidRPr="002F1F02">
        <w:t>Review of Objectively Assessed Housing Need in light of 2012-based Subnational Population Projections</w:t>
      </w:r>
      <w:r w:rsidRPr="002F1F02">
        <w:rPr>
          <w:bCs/>
          <w:iCs/>
        </w:rPr>
        <w:t xml:space="preserve"> </w:t>
      </w:r>
      <w:r w:rsidR="00654232" w:rsidRPr="002F1F02">
        <w:rPr>
          <w:bCs/>
          <w:iCs/>
        </w:rPr>
        <w:t xml:space="preserve">produces a target of </w:t>
      </w:r>
      <w:r w:rsidR="00654232" w:rsidRPr="002F1F02">
        <w:rPr>
          <w:b/>
          <w:bCs/>
          <w:iCs/>
        </w:rPr>
        <w:t>2</w:t>
      </w:r>
      <w:r w:rsidRPr="002F1F02">
        <w:rPr>
          <w:b/>
          <w:bCs/>
          <w:iCs/>
        </w:rPr>
        <w:t>04</w:t>
      </w:r>
      <w:r w:rsidR="00654232" w:rsidRPr="002F1F02">
        <w:rPr>
          <w:bCs/>
          <w:iCs/>
        </w:rPr>
        <w:t xml:space="preserve"> dwellings between 201</w:t>
      </w:r>
      <w:r w:rsidRPr="002F1F02">
        <w:rPr>
          <w:bCs/>
          <w:iCs/>
        </w:rPr>
        <w:t>8</w:t>
      </w:r>
      <w:r w:rsidR="00654232" w:rsidRPr="002F1F02">
        <w:rPr>
          <w:bCs/>
          <w:iCs/>
        </w:rPr>
        <w:t xml:space="preserve"> and 20</w:t>
      </w:r>
      <w:r w:rsidRPr="002F1F02">
        <w:rPr>
          <w:bCs/>
          <w:iCs/>
        </w:rPr>
        <w:t>33</w:t>
      </w:r>
      <w:r>
        <w:rPr>
          <w:bCs/>
          <w:iCs/>
        </w:rPr>
        <w:t xml:space="preserve"> or 14</w:t>
      </w:r>
      <w:r w:rsidR="005750DE">
        <w:rPr>
          <w:bCs/>
          <w:iCs/>
        </w:rPr>
        <w:t xml:space="preserve"> </w:t>
      </w:r>
      <w:proofErr w:type="spellStart"/>
      <w:r>
        <w:rPr>
          <w:bCs/>
          <w:iCs/>
        </w:rPr>
        <w:t>dpa</w:t>
      </w:r>
      <w:proofErr w:type="spellEnd"/>
      <w:r w:rsidR="00654232" w:rsidRPr="002F1F02">
        <w:rPr>
          <w:bCs/>
          <w:iCs/>
        </w:rPr>
        <w:t>;</w:t>
      </w:r>
    </w:p>
    <w:p w:rsidR="00654232" w:rsidRPr="002F1F02" w:rsidRDefault="00B25544" w:rsidP="00C26717">
      <w:pPr>
        <w:pStyle w:val="ListNumber2"/>
      </w:pPr>
      <w:r>
        <w:t>MHCLG</w:t>
      </w:r>
      <w:r w:rsidR="00654232" w:rsidRPr="002F1F02">
        <w:t xml:space="preserve"> Household projections generate a re-based projection of </w:t>
      </w:r>
      <w:r w:rsidR="00654232" w:rsidRPr="002F1F02">
        <w:rPr>
          <w:b/>
        </w:rPr>
        <w:t xml:space="preserve">249 dwellings </w:t>
      </w:r>
      <w:r w:rsidR="002F1F02">
        <w:t xml:space="preserve">over the </w:t>
      </w:r>
      <w:r w:rsidR="000375DA">
        <w:t>Plan period</w:t>
      </w:r>
      <w:r w:rsidR="002F1F02">
        <w:t xml:space="preserve"> or 17</w:t>
      </w:r>
      <w:r w:rsidR="005750DE">
        <w:t xml:space="preserve"> </w:t>
      </w:r>
      <w:proofErr w:type="spellStart"/>
      <w:r w:rsidR="002F1F02">
        <w:t>dpa</w:t>
      </w:r>
      <w:proofErr w:type="spellEnd"/>
      <w:r w:rsidR="00654232" w:rsidRPr="002F1F02">
        <w:t>;</w:t>
      </w:r>
      <w:r w:rsidR="00D52753">
        <w:t xml:space="preserve"> and</w:t>
      </w:r>
    </w:p>
    <w:p w:rsidR="00CE1306" w:rsidRPr="002F1F02" w:rsidRDefault="00CE1306" w:rsidP="00C26717">
      <w:pPr>
        <w:pStyle w:val="ListNumber2"/>
        <w:rPr>
          <w:bCs/>
          <w:iCs/>
        </w:rPr>
      </w:pPr>
      <w:r w:rsidRPr="002F1F02">
        <w:t xml:space="preserve">A projection derived from homes growth between 2001 and 2017 of </w:t>
      </w:r>
      <w:r w:rsidRPr="002F1F02">
        <w:rPr>
          <w:b/>
        </w:rPr>
        <w:t xml:space="preserve">136 homes over the </w:t>
      </w:r>
      <w:r w:rsidR="000375DA">
        <w:rPr>
          <w:b/>
        </w:rPr>
        <w:t>Plan period</w:t>
      </w:r>
      <w:r w:rsidRPr="002F1F02">
        <w:rPr>
          <w:b/>
        </w:rPr>
        <w:t xml:space="preserve"> of 2018-2033</w:t>
      </w:r>
      <w:r w:rsidR="00D52753">
        <w:t>, or 9</w:t>
      </w:r>
      <w:r w:rsidR="005750DE">
        <w:t xml:space="preserve"> </w:t>
      </w:r>
      <w:proofErr w:type="spellStart"/>
      <w:r w:rsidR="00D52753">
        <w:t>dpa</w:t>
      </w:r>
      <w:proofErr w:type="spellEnd"/>
      <w:r w:rsidR="00D52753">
        <w:t xml:space="preserve">. </w:t>
      </w:r>
    </w:p>
    <w:p w:rsidR="00654232" w:rsidRDefault="00654232" w:rsidP="00C26717">
      <w:pPr>
        <w:pStyle w:val="ListNumber"/>
        <w:rPr>
          <w:bCs/>
          <w:iCs/>
          <w:color w:val="000000" w:themeColor="text1"/>
        </w:rPr>
      </w:pPr>
      <w:r w:rsidRPr="00BA163E">
        <w:rPr>
          <w:bCs/>
          <w:iCs/>
          <w:color w:val="000000" w:themeColor="text1"/>
        </w:rPr>
        <w:t xml:space="preserve">These calculations are set out below. </w:t>
      </w:r>
    </w:p>
    <w:p w:rsidR="00654232" w:rsidRPr="00C26717" w:rsidRDefault="00654232" w:rsidP="00C26717">
      <w:pPr>
        <w:pStyle w:val="Heading2"/>
      </w:pPr>
      <w:bookmarkStart w:id="85" w:name="_Toc504464729"/>
      <w:r w:rsidRPr="00A76479">
        <w:t>Chichester Local Plan (2014-202</w:t>
      </w:r>
      <w:r w:rsidR="00970171">
        <w:t>3</w:t>
      </w:r>
      <w:r w:rsidRPr="00A76479">
        <w:t>)</w:t>
      </w:r>
      <w:bookmarkEnd w:id="85"/>
    </w:p>
    <w:p w:rsidR="00970171" w:rsidRPr="00C26717" w:rsidRDefault="00654232" w:rsidP="00C26717">
      <w:pPr>
        <w:pStyle w:val="ListNumber"/>
      </w:pPr>
      <w:r w:rsidRPr="00C26717">
        <w:t xml:space="preserve">The Chichester </w:t>
      </w:r>
      <w:r w:rsidR="005F5CF8">
        <w:t>District</w:t>
      </w:r>
      <w:r w:rsidRPr="00C26717">
        <w:t xml:space="preserve"> Council puts forward a housing requirement for 7,388 for the </w:t>
      </w:r>
      <w:r w:rsidR="005F5CF8">
        <w:t>District</w:t>
      </w:r>
      <w:r w:rsidRPr="00C26717">
        <w:t xml:space="preserve"> over the </w:t>
      </w:r>
      <w:r w:rsidR="000375DA">
        <w:t>Plan period</w:t>
      </w:r>
      <w:r w:rsidRPr="00C26717">
        <w:t xml:space="preserve"> between 2012 and 2029 under Policy 4. </w:t>
      </w:r>
      <w:r w:rsidR="00970171" w:rsidRPr="00C26717">
        <w:t xml:space="preserve">Given the </w:t>
      </w:r>
      <w:r w:rsidR="000375DA">
        <w:t>Plan period</w:t>
      </w:r>
      <w:r w:rsidR="00970171" w:rsidRPr="00C26717">
        <w:t xml:space="preserve"> advised by WWPC of 201</w:t>
      </w:r>
      <w:r w:rsidR="00F91B43" w:rsidRPr="00C26717">
        <w:t>8</w:t>
      </w:r>
      <w:r w:rsidR="00970171" w:rsidRPr="00C26717">
        <w:t xml:space="preserve">-2033, it is necessary to identify an annual target in order to calculate a projection for the </w:t>
      </w:r>
      <w:r w:rsidR="005F5CF8">
        <w:t>Parish</w:t>
      </w:r>
      <w:r w:rsidR="00970171" w:rsidRPr="00C26717">
        <w:t xml:space="preserve">. The </w:t>
      </w:r>
      <w:r w:rsidR="005F5CF8">
        <w:t>District</w:t>
      </w:r>
      <w:r w:rsidR="00970171" w:rsidRPr="00C26717">
        <w:t xml:space="preserve"> council’s overall target </w:t>
      </w:r>
      <w:proofErr w:type="spellStart"/>
      <w:r w:rsidR="00970171" w:rsidRPr="00C26717">
        <w:t>expressd</w:t>
      </w:r>
      <w:proofErr w:type="spellEnd"/>
      <w:r w:rsidR="00970171" w:rsidRPr="00C26717">
        <w:t xml:space="preserve"> as an annual figure is 435 dwellings per annum (</w:t>
      </w:r>
      <w:proofErr w:type="spellStart"/>
      <w:r w:rsidR="00970171" w:rsidRPr="00C26717">
        <w:t>dpa</w:t>
      </w:r>
      <w:proofErr w:type="spellEnd"/>
      <w:r w:rsidR="00970171" w:rsidRPr="00C26717">
        <w:t xml:space="preserve">). </w:t>
      </w:r>
    </w:p>
    <w:p w:rsidR="00970171" w:rsidRPr="00C26717" w:rsidRDefault="00654232" w:rsidP="00C26717">
      <w:pPr>
        <w:pStyle w:val="ListNumber"/>
      </w:pPr>
      <w:r w:rsidRPr="00C26717">
        <w:t xml:space="preserve">The proportional share for West Wittering can be calculated based on the proportion of </w:t>
      </w:r>
      <w:r w:rsidR="00970171" w:rsidRPr="00C26717">
        <w:t xml:space="preserve">the total </w:t>
      </w:r>
      <w:r w:rsidRPr="00C26717">
        <w:t xml:space="preserve">dwellings </w:t>
      </w:r>
      <w:r w:rsidR="00970171" w:rsidRPr="00C26717">
        <w:t xml:space="preserve">in the </w:t>
      </w:r>
      <w:r w:rsidR="005F5CF8">
        <w:t>District</w:t>
      </w:r>
      <w:r w:rsidR="00970171" w:rsidRPr="00C26717">
        <w:t xml:space="preserve"> that fall into</w:t>
      </w:r>
      <w:r w:rsidRPr="00C26717">
        <w:t xml:space="preserve"> the NPA. At the time of the last Census (2011) there were 53,813 dwellings across the </w:t>
      </w:r>
      <w:r w:rsidR="005F5CF8">
        <w:t>District</w:t>
      </w:r>
      <w:r w:rsidRPr="00C26717">
        <w:t xml:space="preserve">, and 1,740 dwellings in the NPA, or 3.23% of all dwellings in Chichester </w:t>
      </w:r>
      <w:r w:rsidR="005F5CF8">
        <w:t>District</w:t>
      </w:r>
      <w:r w:rsidRPr="00C26717">
        <w:t xml:space="preserve">. </w:t>
      </w:r>
    </w:p>
    <w:p w:rsidR="00654232" w:rsidRPr="00C26717" w:rsidRDefault="00654232" w:rsidP="00C26717">
      <w:pPr>
        <w:pStyle w:val="ListNumber"/>
      </w:pPr>
      <w:r w:rsidRPr="00C26717">
        <w:t xml:space="preserve">Therefore, </w:t>
      </w:r>
      <w:r w:rsidR="00970171" w:rsidRPr="00C26717">
        <w:t>14</w:t>
      </w:r>
      <w:r w:rsidRPr="00C26717">
        <w:t xml:space="preserve"> </w:t>
      </w:r>
      <w:proofErr w:type="spellStart"/>
      <w:r w:rsidRPr="00C26717">
        <w:t>d</w:t>
      </w:r>
      <w:r w:rsidR="00970171" w:rsidRPr="00C26717">
        <w:t>pa</w:t>
      </w:r>
      <w:proofErr w:type="spellEnd"/>
      <w:r w:rsidRPr="00C26717">
        <w:t xml:space="preserve"> (3.23% of 7,338) should be allocated as the ‘fair</w:t>
      </w:r>
      <w:r w:rsidR="00970171" w:rsidRPr="00C26717">
        <w:t xml:space="preserve"> share’ of the </w:t>
      </w:r>
      <w:r w:rsidR="005F5CF8">
        <w:t>District</w:t>
      </w:r>
      <w:r w:rsidR="00970171" w:rsidRPr="00C26717">
        <w:t xml:space="preserve"> target; this results in a total of 2</w:t>
      </w:r>
      <w:r w:rsidR="00F91B43" w:rsidRPr="00C26717">
        <w:t>10</w:t>
      </w:r>
      <w:r w:rsidR="00970171" w:rsidRPr="00C26717">
        <w:t xml:space="preserve"> </w:t>
      </w:r>
      <w:r w:rsidR="00520AC0" w:rsidRPr="00C26717">
        <w:t>(14</w:t>
      </w:r>
      <w:r w:rsidR="00A8285B">
        <w:t xml:space="preserve"> </w:t>
      </w:r>
      <w:r w:rsidR="00520AC0" w:rsidRPr="00C26717">
        <w:t>x</w:t>
      </w:r>
      <w:r w:rsidR="00A8285B">
        <w:t xml:space="preserve"> </w:t>
      </w:r>
      <w:r w:rsidR="00520AC0" w:rsidRPr="00C26717">
        <w:t>1</w:t>
      </w:r>
      <w:r w:rsidR="00F91B43" w:rsidRPr="00C26717">
        <w:t>5</w:t>
      </w:r>
      <w:r w:rsidR="00520AC0" w:rsidRPr="00C26717">
        <w:t xml:space="preserve">) </w:t>
      </w:r>
      <w:r w:rsidR="00970171" w:rsidRPr="00C26717">
        <w:t xml:space="preserve">dwellings over the Plan period. </w:t>
      </w:r>
    </w:p>
    <w:p w:rsidR="00520AC0" w:rsidRPr="00C26717" w:rsidRDefault="00654232" w:rsidP="00C26717">
      <w:pPr>
        <w:pStyle w:val="ListNumber"/>
      </w:pPr>
      <w:r w:rsidRPr="00C26717">
        <w:t>In arriving at a final total for West Wittering, it is important to take into consideration that 71 dwellings were built between 2012 and 201</w:t>
      </w:r>
      <w:r w:rsidR="00F91B43" w:rsidRPr="00C26717">
        <w:t>7</w:t>
      </w:r>
      <w:r w:rsidRPr="00C26717">
        <w:t xml:space="preserve"> in the NPA. Allowing for these completed dwellings, a housing target for West Wittering that is in conformity with the Chichester Local Plan would be </w:t>
      </w:r>
      <w:r w:rsidR="00520AC0" w:rsidRPr="00C26717">
        <w:t>1</w:t>
      </w:r>
      <w:r w:rsidR="00F91B43" w:rsidRPr="00C26717">
        <w:t>39</w:t>
      </w:r>
      <w:r w:rsidRPr="00C26717">
        <w:t xml:space="preserve"> dwellings (2</w:t>
      </w:r>
      <w:r w:rsidR="00F91B43" w:rsidRPr="00C26717">
        <w:t>10</w:t>
      </w:r>
      <w:r w:rsidRPr="00C26717">
        <w:t xml:space="preserve"> - 71) between 201</w:t>
      </w:r>
      <w:r w:rsidR="00F91B43" w:rsidRPr="00C26717">
        <w:t>8</w:t>
      </w:r>
      <w:r w:rsidRPr="00C26717">
        <w:t xml:space="preserve"> and 20</w:t>
      </w:r>
      <w:r w:rsidR="00520AC0" w:rsidRPr="00C26717">
        <w:t>33</w:t>
      </w:r>
      <w:r w:rsidRPr="00C26717">
        <w:t xml:space="preserve"> or 14</w:t>
      </w:r>
      <w:r w:rsidR="00D34678">
        <w:t xml:space="preserve"> </w:t>
      </w:r>
      <w:proofErr w:type="spellStart"/>
      <w:r w:rsidR="00520AC0" w:rsidRPr="00C26717">
        <w:t>dpa</w:t>
      </w:r>
      <w:proofErr w:type="spellEnd"/>
      <w:r w:rsidR="00520AC0" w:rsidRPr="00C26717">
        <w:t>.</w:t>
      </w:r>
    </w:p>
    <w:p w:rsidR="00654232" w:rsidRPr="00A76479" w:rsidRDefault="00BC30F0" w:rsidP="00C26717">
      <w:pPr>
        <w:pStyle w:val="Heading2"/>
      </w:pPr>
      <w:bookmarkStart w:id="86" w:name="_Toc504464730"/>
      <w:r>
        <w:t>SHMA</w:t>
      </w:r>
      <w:r w:rsidR="006713D2">
        <w:t xml:space="preserve"> studies</w:t>
      </w:r>
      <w:bookmarkEnd w:id="86"/>
    </w:p>
    <w:p w:rsidR="00654232" w:rsidRPr="00A76479" w:rsidRDefault="00654232" w:rsidP="00C26717">
      <w:pPr>
        <w:pStyle w:val="ListNumber"/>
      </w:pPr>
      <w:r w:rsidRPr="00A76479">
        <w:t>It is important to remember that the SHMA</w:t>
      </w:r>
      <w:r w:rsidR="006713D2">
        <w:t xml:space="preserve"> studies present</w:t>
      </w:r>
      <w:r w:rsidRPr="00A76479">
        <w:t xml:space="preserve"> a demand-side only, or ‘unconstrained’ assessment of need (often identified as Objectively Assessed Need, or OAN</w:t>
      </w:r>
      <w:r w:rsidRPr="00A76479">
        <w:rPr>
          <w:rStyle w:val="FootnoteReference"/>
          <w:rFonts w:cs="Arial"/>
          <w:sz w:val="22"/>
          <w:szCs w:val="22"/>
        </w:rPr>
        <w:footnoteReference w:id="10"/>
      </w:r>
      <w:r w:rsidRPr="00A76479">
        <w:t xml:space="preserve">), as opposed to a final housing target. The final housing target will take into account a number of other factors, including for example the availability of land, viability, infrastructure and environmental constraints and the results of consultation.  </w:t>
      </w:r>
    </w:p>
    <w:p w:rsidR="00654232" w:rsidRDefault="00654232" w:rsidP="00C26717">
      <w:pPr>
        <w:pStyle w:val="ListNumber"/>
      </w:pPr>
      <w:r w:rsidRPr="00A76479">
        <w:t xml:space="preserve">The SHMA </w:t>
      </w:r>
      <w:r w:rsidR="006713D2">
        <w:t>studies present</w:t>
      </w:r>
      <w:r w:rsidRPr="00A76479">
        <w:t xml:space="preserve"> an appropriate starting point for deriving need at the NPA level, because it is an authoritative source of evidence, and importantly, because it takes into account the latest population and household projections, as set out in the 2014 Sub-National Population Projections </w:t>
      </w:r>
      <w:r w:rsidR="0016203A">
        <w:t xml:space="preserve">(SNPP) </w:t>
      </w:r>
      <w:r w:rsidRPr="00A76479">
        <w:t>on which the Household Projections are based, which the PPG guidance suggests should be taken as a ‘starting point’ in determining need at the local authority level.</w:t>
      </w:r>
    </w:p>
    <w:p w:rsidR="00654232" w:rsidRPr="00A76479" w:rsidRDefault="00654232" w:rsidP="00C26717">
      <w:pPr>
        <w:pStyle w:val="ListNumber"/>
      </w:pPr>
      <w:r w:rsidRPr="00A76479">
        <w:t xml:space="preserve">In the case of West Wittering, the </w:t>
      </w:r>
      <w:r w:rsidRPr="00A76479">
        <w:rPr>
          <w:u w:val="single"/>
        </w:rPr>
        <w:t>Analysis of Objectively Assessed Housing Need in light of 2012-based Sub</w:t>
      </w:r>
      <w:r w:rsidR="00D34678">
        <w:rPr>
          <w:u w:val="single"/>
        </w:rPr>
        <w:t>-</w:t>
      </w:r>
      <w:r w:rsidRPr="00A76479">
        <w:rPr>
          <w:u w:val="single"/>
        </w:rPr>
        <w:t>national Population Projections</w:t>
      </w:r>
      <w:r w:rsidRPr="00A76479">
        <w:t xml:space="preserve"> has been prepared to update the findings of the </w:t>
      </w:r>
      <w:r w:rsidRPr="00A76479">
        <w:rPr>
          <w:u w:val="single"/>
        </w:rPr>
        <w:t>Assessment of Housing Development Need Study: Sussex Coast HMA</w:t>
      </w:r>
      <w:r w:rsidRPr="00A76479">
        <w:t xml:space="preserve"> relating to Chichester </w:t>
      </w:r>
      <w:r w:rsidR="005F5CF8">
        <w:t>District</w:t>
      </w:r>
      <w:r w:rsidRPr="00A76479">
        <w:t xml:space="preserve">, to reflect the release of new 2012-based </w:t>
      </w:r>
      <w:r w:rsidR="0016203A">
        <w:t>SNPP</w:t>
      </w:r>
      <w:r w:rsidRPr="00A76479">
        <w:t xml:space="preserve"> by the Office for National Statistics (ONS) in May 2014. It sets out revised findings regarding the OAN for housing in Chichester </w:t>
      </w:r>
      <w:r w:rsidR="005F5CF8">
        <w:t>District</w:t>
      </w:r>
      <w:r w:rsidRPr="00A76479">
        <w:t xml:space="preserve"> to 2029.</w:t>
      </w:r>
    </w:p>
    <w:p w:rsidR="00654232" w:rsidRPr="00A76479" w:rsidRDefault="00654232" w:rsidP="00C26717">
      <w:pPr>
        <w:pStyle w:val="ListNumber"/>
      </w:pPr>
      <w:r w:rsidRPr="00A76479">
        <w:lastRenderedPageBreak/>
        <w:t>The 201</w:t>
      </w:r>
      <w:r w:rsidR="00481B5F">
        <w:t xml:space="preserve">4 </w:t>
      </w:r>
      <w:r w:rsidRPr="00A76479">
        <w:t xml:space="preserve">version identifies an OAN for </w:t>
      </w:r>
      <w:r w:rsidRPr="00A76479">
        <w:rPr>
          <w:color w:val="000000" w:themeColor="text1"/>
        </w:rPr>
        <w:t xml:space="preserve">Chichester </w:t>
      </w:r>
      <w:r w:rsidR="005F5CF8">
        <w:rPr>
          <w:color w:val="000000" w:themeColor="text1"/>
        </w:rPr>
        <w:t>District</w:t>
      </w:r>
      <w:r w:rsidRPr="00A76479">
        <w:rPr>
          <w:color w:val="000000" w:themeColor="text1"/>
        </w:rPr>
        <w:t xml:space="preserve"> </w:t>
      </w:r>
      <w:r w:rsidRPr="00A76479">
        <w:t xml:space="preserve">over the period 2013 - 29 of </w:t>
      </w:r>
      <w:r w:rsidR="00481B5F" w:rsidRPr="00481B5F">
        <w:t>560</w:t>
      </w:r>
      <w:r w:rsidR="00481B5F">
        <w:t xml:space="preserve"> </w:t>
      </w:r>
      <w:r w:rsidR="00481B5F" w:rsidRPr="00481B5F">
        <w:t>-</w:t>
      </w:r>
      <w:r w:rsidR="00481B5F">
        <w:t xml:space="preserve"> </w:t>
      </w:r>
      <w:r w:rsidR="00481B5F" w:rsidRPr="00481B5F">
        <w:t xml:space="preserve">575 </w:t>
      </w:r>
      <w:proofErr w:type="spellStart"/>
      <w:r w:rsidR="00481B5F" w:rsidRPr="00481B5F">
        <w:t>dpa</w:t>
      </w:r>
      <w:proofErr w:type="spellEnd"/>
      <w:r w:rsidR="005E1673">
        <w:t>.</w:t>
      </w:r>
      <w:r w:rsidR="00481B5F">
        <w:rPr>
          <w:rStyle w:val="FootnoteReference"/>
          <w:rFonts w:cs="Arial"/>
          <w:sz w:val="22"/>
          <w:szCs w:val="22"/>
        </w:rPr>
        <w:footnoteReference w:id="11"/>
      </w:r>
      <w:r w:rsidR="00481B5F">
        <w:t xml:space="preserve"> For the purposes of this HNA, we have taken a mid-point in this </w:t>
      </w:r>
      <w:r w:rsidR="005E1673">
        <w:t>range</w:t>
      </w:r>
      <w:r w:rsidR="00481B5F">
        <w:t xml:space="preserve"> of 568 </w:t>
      </w:r>
      <w:proofErr w:type="spellStart"/>
      <w:r w:rsidR="00481B5F">
        <w:t>dpa</w:t>
      </w:r>
      <w:proofErr w:type="spellEnd"/>
      <w:r w:rsidR="00481B5F">
        <w:t xml:space="preserve">. </w:t>
      </w:r>
    </w:p>
    <w:p w:rsidR="00481B5F" w:rsidRDefault="00654232" w:rsidP="00C26717">
      <w:pPr>
        <w:pStyle w:val="ListNumber"/>
      </w:pPr>
      <w:r w:rsidRPr="00481B5F">
        <w:t xml:space="preserve">To calculate the NPA’s ‘fair share’ of this target, it is again possible to use the NPA’s proportion of dwellings in the </w:t>
      </w:r>
      <w:r w:rsidR="005F5CF8">
        <w:t>District</w:t>
      </w:r>
      <w:r w:rsidR="005E1673" w:rsidRPr="00481B5F">
        <w:t xml:space="preserve"> </w:t>
      </w:r>
      <w:r w:rsidRPr="00481B5F">
        <w:t xml:space="preserve">(3.23%). This produces a figure of </w:t>
      </w:r>
      <w:r w:rsidR="00481B5F" w:rsidRPr="00481B5F">
        <w:t>18</w:t>
      </w:r>
      <w:r w:rsidR="00481B5F">
        <w:t>.35</w:t>
      </w:r>
      <w:r w:rsidRPr="00481B5F">
        <w:t xml:space="preserve"> </w:t>
      </w:r>
      <w:proofErr w:type="spellStart"/>
      <w:r w:rsidR="00481B5F" w:rsidRPr="00481B5F">
        <w:t>dpa</w:t>
      </w:r>
      <w:proofErr w:type="spellEnd"/>
      <w:r w:rsidR="00481B5F">
        <w:t>.</w:t>
      </w:r>
      <w:r w:rsidRPr="00A76479">
        <w:t xml:space="preserve"> </w:t>
      </w:r>
      <w:r w:rsidR="00481B5F">
        <w:t>Given the proposed Plan period of 201</w:t>
      </w:r>
      <w:r w:rsidR="00F91B43">
        <w:t>8</w:t>
      </w:r>
      <w:r w:rsidR="00481B5F">
        <w:t xml:space="preserve"> – 2033 (1</w:t>
      </w:r>
      <w:r w:rsidR="00F91B43">
        <w:t>5</w:t>
      </w:r>
      <w:r w:rsidR="00481B5F">
        <w:t xml:space="preserve"> years), this results in a housing needs figure for West Wittering of 2</w:t>
      </w:r>
      <w:r w:rsidR="007710AF">
        <w:t>75</w:t>
      </w:r>
      <w:r w:rsidR="00481B5F">
        <w:t xml:space="preserve"> dwellings.</w:t>
      </w:r>
    </w:p>
    <w:p w:rsidR="00654232" w:rsidRPr="00A76479" w:rsidRDefault="00481B5F" w:rsidP="00C26717">
      <w:pPr>
        <w:pStyle w:val="ListNumber"/>
      </w:pPr>
      <w:r>
        <w:t>However,</w:t>
      </w:r>
      <w:r w:rsidR="00654232" w:rsidRPr="00A76479">
        <w:t xml:space="preserve"> it is necessary to take </w:t>
      </w:r>
      <w:r w:rsidR="00654232" w:rsidRPr="00F91B43">
        <w:t>into consideration dwellings built in the NPA in recent years. Since 2011, as set out above, 71 dwellings</w:t>
      </w:r>
      <w:r w:rsidR="00654232" w:rsidRPr="00A76479">
        <w:t xml:space="preserve"> have been built;</w:t>
      </w:r>
      <w:r w:rsidR="005E1673">
        <w:t xml:space="preserve"> this leads to</w:t>
      </w:r>
      <w:r w:rsidR="00654232" w:rsidRPr="00A76479">
        <w:t xml:space="preserve"> a final target of </w:t>
      </w:r>
      <w:r w:rsidR="00F91B43">
        <w:rPr>
          <w:b/>
        </w:rPr>
        <w:t>2</w:t>
      </w:r>
      <w:r w:rsidR="007710AF">
        <w:rPr>
          <w:b/>
        </w:rPr>
        <w:t>04</w:t>
      </w:r>
      <w:r w:rsidR="00654232" w:rsidRPr="00A76479">
        <w:t xml:space="preserve"> </w:t>
      </w:r>
      <w:r w:rsidR="00F91B43">
        <w:t xml:space="preserve">dwellings over the Plan period. </w:t>
      </w:r>
    </w:p>
    <w:p w:rsidR="00654232" w:rsidRPr="00A76479" w:rsidRDefault="00B25544" w:rsidP="00C26717">
      <w:pPr>
        <w:pStyle w:val="Heading2"/>
      </w:pPr>
      <w:bookmarkStart w:id="87" w:name="_Toc504464731"/>
      <w:r>
        <w:t>MHCLG</w:t>
      </w:r>
      <w:r w:rsidR="00654232" w:rsidRPr="00A76479">
        <w:t xml:space="preserve"> </w:t>
      </w:r>
      <w:r w:rsidR="008762FC">
        <w:t>h</w:t>
      </w:r>
      <w:r w:rsidR="00654232" w:rsidRPr="00A76479">
        <w:t xml:space="preserve">ousehold </w:t>
      </w:r>
      <w:r w:rsidR="008762FC">
        <w:t>p</w:t>
      </w:r>
      <w:r w:rsidR="00654232" w:rsidRPr="00A76479">
        <w:t>rojections</w:t>
      </w:r>
      <w:bookmarkEnd w:id="87"/>
    </w:p>
    <w:p w:rsidR="00654232" w:rsidRPr="00A76479" w:rsidRDefault="00B25544" w:rsidP="00C26717">
      <w:pPr>
        <w:pStyle w:val="ListNumber"/>
      </w:pPr>
      <w:r>
        <w:t>MHCLG</w:t>
      </w:r>
      <w:r w:rsidR="00654232" w:rsidRPr="00A76479">
        <w:t xml:space="preserve"> periodically publishes household projections. The PPG recommends that these household projections should form the starting point for the assessment of housing need. </w:t>
      </w:r>
    </w:p>
    <w:p w:rsidR="00654232" w:rsidRPr="00A76479" w:rsidRDefault="00654232" w:rsidP="00C26717">
      <w:pPr>
        <w:pStyle w:val="ListNumber"/>
      </w:pPr>
      <w:r w:rsidRPr="00A76479">
        <w:t>The most recent (2014-based) household projections were published in July 2016</w:t>
      </w:r>
      <w:r w:rsidRPr="00A76479">
        <w:rPr>
          <w:vertAlign w:val="superscript"/>
        </w:rPr>
        <w:footnoteReference w:id="12"/>
      </w:r>
      <w:r w:rsidRPr="00A76479">
        <w:t xml:space="preserve">, and extend to 2039. Although population projections are only available at a local authority level, a calculation of the share for the NPA is nevertheless possible for the household projections based on the NPA’s household numbers in the 2011 Census. </w:t>
      </w:r>
    </w:p>
    <w:p w:rsidR="00654232" w:rsidRPr="00A76479" w:rsidRDefault="00654232" w:rsidP="00C26717">
      <w:pPr>
        <w:pStyle w:val="ListNumber"/>
      </w:pPr>
      <w:r w:rsidRPr="00A76479">
        <w:t xml:space="preserve">At the 2011 Census, </w:t>
      </w:r>
      <w:r w:rsidRPr="00A76479">
        <w:rPr>
          <w:color w:val="000000" w:themeColor="text1"/>
        </w:rPr>
        <w:t xml:space="preserve">Chichester </w:t>
      </w:r>
      <w:r w:rsidR="005F5CF8">
        <w:rPr>
          <w:color w:val="000000" w:themeColor="text1"/>
        </w:rPr>
        <w:t>District</w:t>
      </w:r>
      <w:r w:rsidRPr="00A76479">
        <w:rPr>
          <w:color w:val="000000" w:themeColor="text1"/>
        </w:rPr>
        <w:t xml:space="preserve"> </w:t>
      </w:r>
      <w:r w:rsidRPr="00A76479">
        <w:t xml:space="preserve">had </w:t>
      </w:r>
      <w:r w:rsidRPr="00A76479">
        <w:rPr>
          <w:b/>
        </w:rPr>
        <w:t xml:space="preserve">49,848 </w:t>
      </w:r>
      <w:r w:rsidRPr="00A76479">
        <w:t xml:space="preserve">households and the NPA </w:t>
      </w:r>
      <w:r w:rsidRPr="00A76479">
        <w:rPr>
          <w:b/>
        </w:rPr>
        <w:t>1,352</w:t>
      </w:r>
      <w:r w:rsidRPr="00A76479">
        <w:t xml:space="preserve"> households, or </w:t>
      </w:r>
      <w:r w:rsidRPr="00A76479">
        <w:rPr>
          <w:b/>
        </w:rPr>
        <w:t>2.71</w:t>
      </w:r>
      <w:r w:rsidRPr="00A76479">
        <w:t>% of the total (rounded).</w:t>
      </w:r>
    </w:p>
    <w:p w:rsidR="00654232" w:rsidRPr="00A76479" w:rsidRDefault="00654232" w:rsidP="00C26717">
      <w:pPr>
        <w:pStyle w:val="ListNumber"/>
      </w:pPr>
      <w:r w:rsidRPr="00A76479">
        <w:t xml:space="preserve">In the 2014-based household projections, the projection for 2029 is </w:t>
      </w:r>
      <w:r w:rsidRPr="00A76479">
        <w:rPr>
          <w:b/>
        </w:rPr>
        <w:t xml:space="preserve">58,625 </w:t>
      </w:r>
      <w:r w:rsidRPr="00A76479">
        <w:t xml:space="preserve">households in </w:t>
      </w:r>
      <w:r w:rsidRPr="00A76479">
        <w:rPr>
          <w:color w:val="000000" w:themeColor="text1"/>
        </w:rPr>
        <w:t xml:space="preserve">Chichester </w:t>
      </w:r>
      <w:r w:rsidR="005F5CF8">
        <w:rPr>
          <w:color w:val="000000" w:themeColor="text1"/>
        </w:rPr>
        <w:t>District</w:t>
      </w:r>
      <w:r w:rsidRPr="00A76479">
        <w:rPr>
          <w:color w:val="000000" w:themeColor="text1"/>
        </w:rPr>
        <w:t xml:space="preserve"> or an additional </w:t>
      </w:r>
      <w:r w:rsidRPr="00A76479">
        <w:rPr>
          <w:b/>
          <w:color w:val="000000" w:themeColor="text1"/>
        </w:rPr>
        <w:t>4,812</w:t>
      </w:r>
      <w:r w:rsidRPr="00A76479">
        <w:rPr>
          <w:color w:val="000000" w:themeColor="text1"/>
        </w:rPr>
        <w:t xml:space="preserve"> households</w:t>
      </w:r>
      <w:r w:rsidRPr="00A76479">
        <w:t xml:space="preserve">. Assuming it continues to form 2.71% of the </w:t>
      </w:r>
      <w:r w:rsidR="005F5CF8">
        <w:t>District</w:t>
      </w:r>
      <w:r w:rsidRPr="00A76479">
        <w:t xml:space="preserve"> total, the NPA’s total number of households in 2029 would be </w:t>
      </w:r>
      <w:r w:rsidRPr="00A76479">
        <w:rPr>
          <w:b/>
        </w:rPr>
        <w:t xml:space="preserve">1,590 </w:t>
      </w:r>
      <w:r w:rsidRPr="00A76479">
        <w:t xml:space="preserve">(rounded); therefore </w:t>
      </w:r>
      <w:r w:rsidRPr="00A76479">
        <w:rPr>
          <w:b/>
        </w:rPr>
        <w:t>238</w:t>
      </w:r>
      <w:r w:rsidRPr="00A76479">
        <w:t xml:space="preserve"> new households will form in the NPA between 2011 and 2029 (or a rate of growth of </w:t>
      </w:r>
      <w:r w:rsidRPr="00A76479">
        <w:rPr>
          <w:b/>
        </w:rPr>
        <w:t>13</w:t>
      </w:r>
      <w:r w:rsidRPr="00A76479">
        <w:t xml:space="preserve"> households per year). </w:t>
      </w:r>
    </w:p>
    <w:p w:rsidR="00654232" w:rsidRPr="00A76479" w:rsidRDefault="00654232" w:rsidP="00C26717">
      <w:pPr>
        <w:pStyle w:val="ListNumber"/>
      </w:pPr>
      <w:r w:rsidRPr="00A76479">
        <w:t xml:space="preserve">Number of households does not, however, equate precisely to number of dwellings, with the latter slightly higher in most places. The NPA is no exception; in the 2011 Census, there were </w:t>
      </w:r>
      <w:r w:rsidRPr="00A76479">
        <w:rPr>
          <w:b/>
        </w:rPr>
        <w:t>1,352</w:t>
      </w:r>
      <w:r w:rsidRPr="00A76479">
        <w:t xml:space="preserve"> households but </w:t>
      </w:r>
      <w:r w:rsidRPr="00A76479">
        <w:rPr>
          <w:b/>
        </w:rPr>
        <w:t>1,740</w:t>
      </w:r>
      <w:r w:rsidRPr="00A76479">
        <w:t xml:space="preserve"> dwellings. This gives a ratio of </w:t>
      </w:r>
      <w:r w:rsidRPr="00A76479">
        <w:rPr>
          <w:b/>
        </w:rPr>
        <w:t>0.78</w:t>
      </w:r>
      <w:r w:rsidRPr="00A76479">
        <w:t xml:space="preserve"> households per dwelling. In the case of NPA, then, a projection of </w:t>
      </w:r>
      <w:r w:rsidRPr="00A76479">
        <w:rPr>
          <w:b/>
        </w:rPr>
        <w:t>238</w:t>
      </w:r>
      <w:r w:rsidRPr="00A76479">
        <w:t xml:space="preserve"> new households (between 2011 and 2029) translates into a need for </w:t>
      </w:r>
      <w:r w:rsidRPr="00A76479">
        <w:rPr>
          <w:b/>
        </w:rPr>
        <w:t xml:space="preserve">306 </w:t>
      </w:r>
      <w:r w:rsidRPr="00A76479">
        <w:t>dwellings (rounded to the nearest whole number).</w:t>
      </w:r>
    </w:p>
    <w:p w:rsidR="00654232" w:rsidRPr="00C26717" w:rsidRDefault="00654232" w:rsidP="00C26717">
      <w:pPr>
        <w:pStyle w:val="ListNumber"/>
        <w:rPr>
          <w:rFonts w:ascii="Arial" w:hAnsi="Arial"/>
          <w:color w:val="000000" w:themeColor="text1"/>
        </w:rPr>
      </w:pPr>
      <w:r w:rsidRPr="00A76479">
        <w:rPr>
          <w:rFonts w:ascii="Arial" w:hAnsi="Arial"/>
          <w:color w:val="000000" w:themeColor="text1"/>
        </w:rPr>
        <w:t xml:space="preserve">These figures are based on the assumption that 2014-based government projections as to household growth at the </w:t>
      </w:r>
      <w:r w:rsidR="00435EAC">
        <w:rPr>
          <w:rFonts w:ascii="Arial" w:hAnsi="Arial"/>
          <w:color w:val="000000" w:themeColor="text1"/>
        </w:rPr>
        <w:t xml:space="preserve">LPA </w:t>
      </w:r>
      <w:r w:rsidRPr="00A76479">
        <w:rPr>
          <w:rFonts w:ascii="Arial" w:hAnsi="Arial"/>
          <w:color w:val="000000" w:themeColor="text1"/>
        </w:rPr>
        <w:t>level are accurate</w:t>
      </w:r>
      <w:r w:rsidRPr="00A76479">
        <w:rPr>
          <w:rFonts w:ascii="Arial" w:hAnsi="Arial"/>
        </w:rPr>
        <w:t xml:space="preserve">. </w:t>
      </w:r>
      <w:r w:rsidRPr="00A76479">
        <w:rPr>
          <w:rFonts w:ascii="Arial" w:hAnsi="Arial"/>
          <w:color w:val="000000" w:themeColor="text1"/>
        </w:rPr>
        <w:t>As the annual mid-year population estimates have now been released for 201</w:t>
      </w:r>
      <w:bookmarkStart w:id="88" w:name="_GoBack"/>
      <w:bookmarkEnd w:id="88"/>
      <w:r w:rsidR="002B2BD7">
        <w:rPr>
          <w:rFonts w:ascii="Arial" w:hAnsi="Arial"/>
          <w:color w:val="000000" w:themeColor="text1"/>
        </w:rPr>
        <w:t>6</w:t>
      </w:r>
      <w:r w:rsidRPr="00A76479">
        <w:rPr>
          <w:rFonts w:ascii="Arial" w:hAnsi="Arial"/>
          <w:color w:val="000000" w:themeColor="text1"/>
        </w:rPr>
        <w:t>, the 2014-based household projections may need to be ‘rebased’ for accuracy. The mid-2016 population estimates give the actual number of people in the L</w:t>
      </w:r>
      <w:r w:rsidR="00435EAC">
        <w:rPr>
          <w:rFonts w:ascii="Arial" w:hAnsi="Arial"/>
          <w:color w:val="000000" w:themeColor="text1"/>
        </w:rPr>
        <w:t>P</w:t>
      </w:r>
      <w:r w:rsidRPr="00A76479">
        <w:rPr>
          <w:rFonts w:ascii="Arial" w:hAnsi="Arial"/>
          <w:color w:val="000000" w:themeColor="text1"/>
        </w:rPr>
        <w:t xml:space="preserve">A at that point, meaning the difference between the estimated and the previously projected number of households can to be taken into </w:t>
      </w:r>
      <w:r w:rsidR="00C26717">
        <w:rPr>
          <w:rFonts w:ascii="Arial" w:hAnsi="Arial"/>
          <w:color w:val="000000" w:themeColor="text1"/>
        </w:rPr>
        <w:t xml:space="preserve">account in future projections. </w:t>
      </w:r>
    </w:p>
    <w:p w:rsidR="00654232" w:rsidRPr="00C26717" w:rsidRDefault="00654232" w:rsidP="00C26717">
      <w:pPr>
        <w:pStyle w:val="ListNumber"/>
        <w:rPr>
          <w:rFonts w:ascii="Arial" w:hAnsi="Arial"/>
          <w:color w:val="000000" w:themeColor="text1"/>
        </w:rPr>
      </w:pPr>
      <w:r w:rsidRPr="00A76479">
        <w:rPr>
          <w:rFonts w:ascii="Arial" w:hAnsi="Arial"/>
          <w:color w:val="000000" w:themeColor="text1"/>
        </w:rPr>
        <w:t xml:space="preserve">The 2014-based household projections were based on the 2014-based </w:t>
      </w:r>
      <w:r w:rsidR="00E63D4C">
        <w:rPr>
          <w:rFonts w:ascii="Arial" w:hAnsi="Arial"/>
          <w:color w:val="000000" w:themeColor="text1"/>
        </w:rPr>
        <w:t>SNPP</w:t>
      </w:r>
      <w:r w:rsidRPr="00A76479">
        <w:rPr>
          <w:rFonts w:ascii="Arial" w:hAnsi="Arial"/>
          <w:color w:val="000000" w:themeColor="text1"/>
        </w:rPr>
        <w:t xml:space="preserve">, which estimated that by 2016 there would be </w:t>
      </w:r>
      <w:r w:rsidRPr="00A76479">
        <w:rPr>
          <w:rFonts w:ascii="Arial" w:hAnsi="Arial"/>
          <w:b/>
          <w:color w:val="000000" w:themeColor="text1"/>
        </w:rPr>
        <w:t>117,259</w:t>
      </w:r>
      <w:r w:rsidRPr="00A76479">
        <w:rPr>
          <w:rFonts w:ascii="Arial" w:hAnsi="Arial"/>
          <w:color w:val="000000" w:themeColor="text1"/>
        </w:rPr>
        <w:t xml:space="preserve"> people in Chichester. The mid-2016 </w:t>
      </w:r>
      <w:r w:rsidR="00E63D4C">
        <w:rPr>
          <w:rFonts w:ascii="Arial" w:hAnsi="Arial"/>
          <w:color w:val="000000" w:themeColor="text1"/>
        </w:rPr>
        <w:t>e</w:t>
      </w:r>
      <w:r w:rsidRPr="00A76479">
        <w:rPr>
          <w:rFonts w:ascii="Arial" w:hAnsi="Arial"/>
          <w:color w:val="000000" w:themeColor="text1"/>
        </w:rPr>
        <w:t>stimates show that</w:t>
      </w:r>
      <w:r w:rsidR="00E63D4C">
        <w:rPr>
          <w:rFonts w:ascii="Arial" w:hAnsi="Arial"/>
          <w:color w:val="000000" w:themeColor="text1"/>
        </w:rPr>
        <w:t>,</w:t>
      </w:r>
      <w:r w:rsidRPr="00A76479">
        <w:rPr>
          <w:rFonts w:ascii="Arial" w:hAnsi="Arial"/>
          <w:color w:val="000000" w:themeColor="text1"/>
        </w:rPr>
        <w:t xml:space="preserve"> based on the latest information</w:t>
      </w:r>
      <w:r w:rsidR="00E63D4C">
        <w:rPr>
          <w:rFonts w:ascii="Arial" w:hAnsi="Arial"/>
          <w:color w:val="000000" w:themeColor="text1"/>
        </w:rPr>
        <w:t>,</w:t>
      </w:r>
      <w:r w:rsidRPr="00A76479">
        <w:rPr>
          <w:rFonts w:ascii="Arial" w:hAnsi="Arial"/>
          <w:color w:val="000000" w:themeColor="text1"/>
        </w:rPr>
        <w:t xml:space="preserve"> there were estimated to be </w:t>
      </w:r>
      <w:r w:rsidRPr="00A76479">
        <w:rPr>
          <w:rFonts w:ascii="Arial" w:hAnsi="Arial"/>
          <w:b/>
          <w:color w:val="000000" w:themeColor="text1"/>
        </w:rPr>
        <w:t>118,175</w:t>
      </w:r>
      <w:r w:rsidRPr="00A76479">
        <w:rPr>
          <w:rFonts w:ascii="Arial" w:hAnsi="Arial"/>
          <w:color w:val="000000" w:themeColor="text1"/>
        </w:rPr>
        <w:t xml:space="preserve"> people, which is higher than the projections by </w:t>
      </w:r>
      <w:r w:rsidRPr="00A76479">
        <w:rPr>
          <w:rFonts w:ascii="Arial" w:hAnsi="Arial"/>
          <w:b/>
          <w:color w:val="000000" w:themeColor="text1"/>
        </w:rPr>
        <w:t>916</w:t>
      </w:r>
      <w:r w:rsidRPr="00A76479">
        <w:rPr>
          <w:rFonts w:ascii="Arial" w:hAnsi="Arial"/>
          <w:color w:val="000000" w:themeColor="text1"/>
        </w:rPr>
        <w:t xml:space="preserve"> people. Assuming average household sizes remain constant (in 2011 there were an average of </w:t>
      </w:r>
      <w:r w:rsidRPr="00A76479">
        <w:rPr>
          <w:rFonts w:ascii="Arial" w:hAnsi="Arial"/>
          <w:b/>
          <w:color w:val="000000" w:themeColor="text1"/>
        </w:rPr>
        <w:t>2.28</w:t>
      </w:r>
      <w:r w:rsidRPr="00A76479">
        <w:rPr>
          <w:rFonts w:ascii="Arial" w:hAnsi="Arial"/>
          <w:color w:val="000000" w:themeColor="text1"/>
        </w:rPr>
        <w:t xml:space="preserve"> people per household, obtained by dividing population by number of households) this equates to </w:t>
      </w:r>
      <w:r w:rsidRPr="00A76479">
        <w:rPr>
          <w:rFonts w:ascii="Arial" w:hAnsi="Arial"/>
          <w:b/>
          <w:color w:val="000000" w:themeColor="text1"/>
        </w:rPr>
        <w:t>401</w:t>
      </w:r>
      <w:r w:rsidRPr="00A76479">
        <w:rPr>
          <w:rFonts w:ascii="Arial" w:hAnsi="Arial"/>
          <w:color w:val="000000" w:themeColor="text1"/>
        </w:rPr>
        <w:t xml:space="preserve"> additional </w:t>
      </w:r>
      <w:r w:rsidR="00C26717">
        <w:rPr>
          <w:rFonts w:ascii="Arial" w:hAnsi="Arial"/>
          <w:color w:val="000000" w:themeColor="text1"/>
        </w:rPr>
        <w:t xml:space="preserve">households across Chichester.  </w:t>
      </w:r>
    </w:p>
    <w:p w:rsidR="00654232" w:rsidRPr="00C26717" w:rsidRDefault="00654232" w:rsidP="00C26717">
      <w:pPr>
        <w:pStyle w:val="ListNumber"/>
        <w:rPr>
          <w:rFonts w:ascii="Arial" w:hAnsi="Arial"/>
          <w:color w:val="000000" w:themeColor="text1"/>
        </w:rPr>
      </w:pPr>
      <w:r w:rsidRPr="00A76479">
        <w:rPr>
          <w:rFonts w:ascii="Arial" w:hAnsi="Arial"/>
          <w:color w:val="000000" w:themeColor="text1"/>
        </w:rPr>
        <w:t xml:space="preserve">Taking </w:t>
      </w:r>
      <w:r w:rsidRPr="00A76479">
        <w:rPr>
          <w:rFonts w:ascii="Arial" w:hAnsi="Arial"/>
          <w:b/>
          <w:color w:val="000000" w:themeColor="text1"/>
        </w:rPr>
        <w:t>59,026</w:t>
      </w:r>
      <w:r w:rsidRPr="00A76479">
        <w:rPr>
          <w:rFonts w:ascii="Arial" w:hAnsi="Arial"/>
          <w:color w:val="000000" w:themeColor="text1"/>
        </w:rPr>
        <w:t xml:space="preserve"> (58,625 + 401) as our revised household number at 2029, and assuming it continues to form 2.71% of the </w:t>
      </w:r>
      <w:r w:rsidR="005F5CF8">
        <w:rPr>
          <w:rFonts w:ascii="Arial" w:hAnsi="Arial"/>
          <w:color w:val="000000" w:themeColor="text1"/>
        </w:rPr>
        <w:t>District</w:t>
      </w:r>
      <w:r w:rsidRPr="00A76479">
        <w:rPr>
          <w:rFonts w:ascii="Arial" w:hAnsi="Arial"/>
          <w:color w:val="000000" w:themeColor="text1"/>
        </w:rPr>
        <w:t xml:space="preserve"> total, the NPA’s total number of households in 2029 would be </w:t>
      </w:r>
      <w:r w:rsidRPr="00A76479">
        <w:rPr>
          <w:rFonts w:ascii="Arial" w:hAnsi="Arial"/>
          <w:b/>
          <w:color w:val="000000" w:themeColor="text1"/>
        </w:rPr>
        <w:t>1,601</w:t>
      </w:r>
      <w:r w:rsidRPr="00A76479">
        <w:rPr>
          <w:rFonts w:ascii="Arial" w:hAnsi="Arial"/>
          <w:color w:val="000000" w:themeColor="text1"/>
        </w:rPr>
        <w:t xml:space="preserve"> (rounded), producing a revised growth in the number of households between 2011 and 2029 of </w:t>
      </w:r>
      <w:r w:rsidRPr="00A76479">
        <w:rPr>
          <w:rFonts w:ascii="Arial" w:hAnsi="Arial"/>
          <w:b/>
          <w:color w:val="000000" w:themeColor="text1"/>
        </w:rPr>
        <w:t>249</w:t>
      </w:r>
      <w:r w:rsidRPr="00A76479">
        <w:rPr>
          <w:rFonts w:ascii="Arial" w:hAnsi="Arial"/>
          <w:color w:val="000000" w:themeColor="text1"/>
        </w:rPr>
        <w:t>, 11 more than in the 2014-based household projections.</w:t>
      </w:r>
    </w:p>
    <w:p w:rsidR="00654232" w:rsidRPr="00C26717" w:rsidRDefault="00654232" w:rsidP="00C26717">
      <w:pPr>
        <w:pStyle w:val="ListNumber"/>
        <w:rPr>
          <w:rFonts w:ascii="Arial" w:hAnsi="Arial"/>
          <w:color w:val="000000" w:themeColor="text1"/>
        </w:rPr>
      </w:pPr>
      <w:r w:rsidRPr="00A76479">
        <w:rPr>
          <w:rFonts w:ascii="Arial" w:hAnsi="Arial"/>
          <w:color w:val="000000" w:themeColor="text1"/>
        </w:rPr>
        <w:t xml:space="preserve">Taking into account the disparity between household numbers and dwelling numbers, a projection of 249 new households between 2011 and 2029 translates into a need for </w:t>
      </w:r>
      <w:r>
        <w:rPr>
          <w:rFonts w:ascii="Arial" w:hAnsi="Arial"/>
          <w:b/>
          <w:color w:val="000000" w:themeColor="text1"/>
        </w:rPr>
        <w:t>320</w:t>
      </w:r>
      <w:r w:rsidRPr="00A76479">
        <w:rPr>
          <w:rFonts w:ascii="Arial" w:hAnsi="Arial"/>
          <w:color w:val="000000" w:themeColor="text1"/>
        </w:rPr>
        <w:t xml:space="preserve"> dwellings. Netting off the 71 dwellings completed since 2011, we arrive at a re-based household projections-derived dwelling</w:t>
      </w:r>
      <w:r w:rsidR="00E63D4C">
        <w:rPr>
          <w:rFonts w:ascii="Arial" w:hAnsi="Arial"/>
          <w:color w:val="000000" w:themeColor="text1"/>
        </w:rPr>
        <w:t xml:space="preserve"> requirement</w:t>
      </w:r>
      <w:r w:rsidRPr="00A76479">
        <w:rPr>
          <w:rFonts w:ascii="Arial" w:hAnsi="Arial"/>
          <w:color w:val="000000" w:themeColor="text1"/>
        </w:rPr>
        <w:t xml:space="preserve"> of </w:t>
      </w:r>
      <w:r>
        <w:rPr>
          <w:rFonts w:ascii="Arial" w:hAnsi="Arial"/>
          <w:b/>
          <w:color w:val="000000" w:themeColor="text1"/>
        </w:rPr>
        <w:t>249</w:t>
      </w:r>
      <w:r w:rsidRPr="00A76479">
        <w:rPr>
          <w:rFonts w:ascii="Arial" w:hAnsi="Arial"/>
          <w:color w:val="000000" w:themeColor="text1"/>
        </w:rPr>
        <w:t xml:space="preserve"> dwellings (rounded) over the </w:t>
      </w:r>
      <w:r w:rsidR="000375DA">
        <w:rPr>
          <w:rFonts w:ascii="Arial" w:hAnsi="Arial"/>
          <w:color w:val="000000" w:themeColor="text1"/>
        </w:rPr>
        <w:t>Plan period</w:t>
      </w:r>
      <w:r w:rsidRPr="00A76479">
        <w:rPr>
          <w:rFonts w:ascii="Arial" w:hAnsi="Arial"/>
          <w:color w:val="000000" w:themeColor="text1"/>
        </w:rPr>
        <w:t xml:space="preserve"> or </w:t>
      </w:r>
      <w:r>
        <w:rPr>
          <w:rFonts w:ascii="Arial" w:hAnsi="Arial"/>
          <w:b/>
          <w:color w:val="000000" w:themeColor="text1"/>
        </w:rPr>
        <w:t>21</w:t>
      </w:r>
      <w:r w:rsidR="00C26717">
        <w:rPr>
          <w:rFonts w:ascii="Arial" w:hAnsi="Arial"/>
          <w:color w:val="000000" w:themeColor="text1"/>
        </w:rPr>
        <w:t xml:space="preserve"> dwellings per annum.</w:t>
      </w:r>
    </w:p>
    <w:p w:rsidR="00654232" w:rsidRPr="00A76479" w:rsidRDefault="00654232" w:rsidP="00C26717">
      <w:pPr>
        <w:pStyle w:val="ListNumber"/>
      </w:pPr>
      <w:r w:rsidRPr="00A76479">
        <w:t xml:space="preserve">This projection is an entirely unconstrained, theoretical figure comprising a relative proportion of the overall projected increase, and thus does not take into account political, economic, demographic or any other drivers that might have influenced, or may in future influence, the Local Plan distribution across the </w:t>
      </w:r>
      <w:r w:rsidR="005F5CF8">
        <w:t>District</w:t>
      </w:r>
      <w:r w:rsidRPr="00A76479">
        <w:t xml:space="preserve"> and hence any difference between this figure and a future Local Plan-derived figure.</w:t>
      </w:r>
    </w:p>
    <w:p w:rsidR="00654232" w:rsidRPr="00A76479" w:rsidRDefault="00654232" w:rsidP="00C26717">
      <w:pPr>
        <w:pStyle w:val="Heading2"/>
      </w:pPr>
      <w:bookmarkStart w:id="89" w:name="_Toc504464732"/>
      <w:r w:rsidRPr="00A76479">
        <w:lastRenderedPageBreak/>
        <w:t>Dwelling growth 2001 – 2011</w:t>
      </w:r>
      <w:bookmarkEnd w:id="89"/>
    </w:p>
    <w:p w:rsidR="00654232" w:rsidRPr="00F91B43" w:rsidRDefault="00654232" w:rsidP="00C26717">
      <w:pPr>
        <w:pStyle w:val="ListNumber"/>
      </w:pPr>
      <w:r w:rsidRPr="00F91B43">
        <w:t>Consideration of home growth 2001-2011 provides a projection based on the rate of delivery of net new homes between the two censuses.  There was an increase of 74 dwellings in the NPA between these two dates, or an average annual rate of increase of 7</w:t>
      </w:r>
      <w:r w:rsidR="00F91B43">
        <w:t>.4 homes</w:t>
      </w:r>
      <w:r w:rsidRPr="00F91B43">
        <w:t xml:space="preserve">.  Multiplying this annual figure by the number of years </w:t>
      </w:r>
      <w:r w:rsidR="00F91B43" w:rsidRPr="00F91B43">
        <w:t>from 2017 until the end of the P</w:t>
      </w:r>
      <w:r w:rsidRPr="00F91B43">
        <w:t xml:space="preserve">lan period </w:t>
      </w:r>
      <w:r w:rsidR="00F91B43" w:rsidRPr="00F91B43">
        <w:t xml:space="preserve">(16 years) </w:t>
      </w:r>
      <w:r w:rsidRPr="00F91B43">
        <w:t xml:space="preserve">would produce </w:t>
      </w:r>
      <w:r w:rsidR="00F91B43">
        <w:t>118</w:t>
      </w:r>
      <w:r w:rsidRPr="00F91B43">
        <w:t xml:space="preserve"> homes</w:t>
      </w:r>
      <w:r w:rsidR="00F91B43">
        <w:t xml:space="preserve"> (rounded)</w:t>
      </w:r>
      <w:r w:rsidRPr="00F91B43">
        <w:t xml:space="preserve">. </w:t>
      </w:r>
    </w:p>
    <w:p w:rsidR="00654232" w:rsidRPr="00A76479" w:rsidRDefault="00654232" w:rsidP="00C26717">
      <w:pPr>
        <w:pStyle w:val="Heading2"/>
      </w:pPr>
      <w:bookmarkStart w:id="90" w:name="_Toc504464733"/>
      <w:r w:rsidRPr="00A76479">
        <w:t>Dwelling growth since 2011</w:t>
      </w:r>
      <w:bookmarkEnd w:id="90"/>
    </w:p>
    <w:p w:rsidR="00654232" w:rsidRPr="00A76479" w:rsidRDefault="00654232" w:rsidP="00C26717">
      <w:pPr>
        <w:pStyle w:val="ListNumber"/>
      </w:pPr>
      <w:r w:rsidRPr="00A76479">
        <w:t xml:space="preserve">It is also helpful to consider a projection based on the rate of delivery of net new homes since the last </w:t>
      </w:r>
      <w:r w:rsidR="005C4D58">
        <w:t>C</w:t>
      </w:r>
      <w:r w:rsidRPr="00A76479">
        <w:t xml:space="preserve">ensus (2011), using data gathered and monitored by the LPA.  As we </w:t>
      </w:r>
      <w:r w:rsidRPr="007710AF">
        <w:t>have seen, between 2011 and 2017, 71 new dwellings were completed</w:t>
      </w:r>
      <w:r w:rsidR="005C4D58">
        <w:t>.</w:t>
      </w:r>
      <w:r w:rsidRPr="007710AF">
        <w:rPr>
          <w:rStyle w:val="FootnoteReference"/>
          <w:rFonts w:ascii="Arial" w:hAnsi="Arial" w:cs="Arial"/>
          <w:sz w:val="22"/>
          <w:szCs w:val="22"/>
        </w:rPr>
        <w:footnoteReference w:id="13"/>
      </w:r>
      <w:r w:rsidRPr="007710AF">
        <w:t xml:space="preserve"> This equates to an annual rate of delivery of </w:t>
      </w:r>
      <w:r w:rsidR="007710AF" w:rsidRPr="007710AF">
        <w:t>11.83</w:t>
      </w:r>
      <w:r w:rsidRPr="007710AF">
        <w:t xml:space="preserve"> homes</w:t>
      </w:r>
      <w:r w:rsidRPr="00A76479">
        <w:t xml:space="preserve"> (71 divided by </w:t>
      </w:r>
      <w:r>
        <w:t>6</w:t>
      </w:r>
      <w:r w:rsidRPr="00A76479">
        <w:t>, the number of years elapsed).  If this rate of delivery continued to 20</w:t>
      </w:r>
      <w:r w:rsidR="007710AF">
        <w:t>33</w:t>
      </w:r>
      <w:r w:rsidRPr="00A76479">
        <w:t xml:space="preserve">, this would equate to a projection of </w:t>
      </w:r>
      <w:r w:rsidR="007710AF" w:rsidRPr="007710AF">
        <w:rPr>
          <w:b/>
        </w:rPr>
        <w:t xml:space="preserve">176 </w:t>
      </w:r>
      <w:r w:rsidR="007710AF" w:rsidRPr="007710AF">
        <w:t>(rounded)</w:t>
      </w:r>
      <w:r w:rsidRPr="007710AF">
        <w:t xml:space="preserve"> </w:t>
      </w:r>
      <w:r w:rsidRPr="00A76479">
        <w:t>homes from 201</w:t>
      </w:r>
      <w:r w:rsidR="007710AF">
        <w:t>8</w:t>
      </w:r>
      <w:r w:rsidRPr="00A76479">
        <w:t xml:space="preserve"> to the end of the </w:t>
      </w:r>
      <w:r w:rsidR="000375DA">
        <w:t>Plan period</w:t>
      </w:r>
      <w:r w:rsidRPr="00A76479">
        <w:t>.</w:t>
      </w:r>
    </w:p>
    <w:p w:rsidR="00654232" w:rsidRPr="004F16CD" w:rsidRDefault="00654232" w:rsidP="00C26717">
      <w:pPr>
        <w:pStyle w:val="Heading2"/>
        <w:rPr>
          <w:rFonts w:eastAsia="Times New Roman"/>
          <w:lang w:val="en-US"/>
        </w:rPr>
      </w:pPr>
      <w:bookmarkStart w:id="91" w:name="_Toc504464734"/>
      <w:r w:rsidRPr="004F16CD">
        <w:rPr>
          <w:rFonts w:eastAsia="Times New Roman"/>
          <w:lang w:val="en-US"/>
        </w:rPr>
        <w:t>Dwelling growth 2001-2017</w:t>
      </w:r>
      <w:bookmarkEnd w:id="91"/>
    </w:p>
    <w:p w:rsidR="00654232" w:rsidRPr="004F16CD" w:rsidRDefault="00654232" w:rsidP="00654232">
      <w:pPr>
        <w:tabs>
          <w:tab w:val="clear" w:pos="284"/>
        </w:tabs>
        <w:spacing w:line="276" w:lineRule="auto"/>
      </w:pPr>
    </w:p>
    <w:p w:rsidR="007710AF" w:rsidRPr="002F1F02" w:rsidRDefault="007710AF" w:rsidP="00C26717">
      <w:pPr>
        <w:pStyle w:val="ListNumber"/>
      </w:pPr>
      <w:r w:rsidRPr="002F1F02">
        <w:t xml:space="preserve">It is important to note the disparity between the two ‘home growth’ figures; this reflects the susceptibility of the development industry to fluctuations in demand and costs of development, among other factors. To allow for these peaks and troughs, and </w:t>
      </w:r>
      <w:r w:rsidR="005C4D58">
        <w:t xml:space="preserve">to </w:t>
      </w:r>
      <w:r w:rsidRPr="002F1F02">
        <w:t xml:space="preserve">provide a more realistic picture of the quantum of development </w:t>
      </w:r>
      <w:r w:rsidR="005C4D58">
        <w:t xml:space="preserve">that </w:t>
      </w:r>
      <w:r w:rsidRPr="002F1F02">
        <w:t xml:space="preserve">could be delivered over the Plan period, we have taken the aggregate of the homes growth between 2001 and 2017; this comes to 145 (74 + 71) dwellings. Expressed as an annual average rate, this is 9.06 </w:t>
      </w:r>
      <w:proofErr w:type="spellStart"/>
      <w:r w:rsidRPr="002F1F02">
        <w:t>dpa</w:t>
      </w:r>
      <w:proofErr w:type="spellEnd"/>
      <w:r w:rsidRPr="002F1F02">
        <w:t xml:space="preserve">. This produces </w:t>
      </w:r>
      <w:r w:rsidR="005C4D58">
        <w:t xml:space="preserve">a </w:t>
      </w:r>
      <w:r w:rsidRPr="002F1F02">
        <w:t xml:space="preserve">projection derived from homes growth between 2001 and 2017 of 136 homes over the </w:t>
      </w:r>
      <w:r w:rsidR="000375DA">
        <w:t>Plan period</w:t>
      </w:r>
      <w:r w:rsidRPr="002F1F02">
        <w:t xml:space="preserve"> of 2018-2033 (9.06</w:t>
      </w:r>
      <w:r w:rsidR="005C4D58">
        <w:t xml:space="preserve"> </w:t>
      </w:r>
      <w:r w:rsidRPr="002F1F02">
        <w:t>x</w:t>
      </w:r>
      <w:r w:rsidR="005C4D58">
        <w:t xml:space="preserve"> </w:t>
      </w:r>
      <w:r w:rsidRPr="002F1F02">
        <w:t>15).</w:t>
      </w:r>
    </w:p>
    <w:p w:rsidR="00654232" w:rsidRPr="004F16CD" w:rsidRDefault="00654232" w:rsidP="00C26717">
      <w:pPr>
        <w:pStyle w:val="Heading2"/>
      </w:pPr>
      <w:bookmarkStart w:id="92" w:name="_Toc504464735"/>
      <w:r w:rsidRPr="004F16CD">
        <w:t>The standard methodology</w:t>
      </w:r>
      <w:bookmarkEnd w:id="92"/>
    </w:p>
    <w:p w:rsidR="00654232" w:rsidRPr="004F16CD" w:rsidRDefault="00654232" w:rsidP="00C26717">
      <w:pPr>
        <w:pStyle w:val="ListNumber"/>
      </w:pPr>
      <w:r w:rsidRPr="004F16CD">
        <w:t>On September 14</w:t>
      </w:r>
      <w:r w:rsidRPr="004F16CD">
        <w:rPr>
          <w:vertAlign w:val="superscript"/>
        </w:rPr>
        <w:t>th</w:t>
      </w:r>
      <w:r w:rsidRPr="004F16CD">
        <w:t>, 2017, the Department for Communities and Local Government (</w:t>
      </w:r>
      <w:r w:rsidR="00B25544">
        <w:t>MHCLG</w:t>
      </w:r>
      <w:r w:rsidRPr="004F16CD">
        <w:t xml:space="preserve">) published “Planning for the right homes in the right places: consultation proposals” (the consultation proposals), a consultation on a new proposed Standard Methodology for Assessing Housing Need (SMAHN) for arriving at an OAN for housing for individual local authorities, thus avoiding both the expense of producing complex SHMAs and the disagreements surrounding their methodologies. </w:t>
      </w:r>
      <w:r w:rsidR="00B25544">
        <w:t>MHCLG</w:t>
      </w:r>
      <w:r w:rsidRPr="004F16CD">
        <w:t xml:space="preserve"> has stated that “this consultation sets out a number of proposals to reform the planning system" including "how neighbourhood planning groups can have greater certainty on the level of housing need to plan for”.</w:t>
      </w:r>
      <w:r w:rsidR="002075C9">
        <w:rPr>
          <w:rStyle w:val="FootnoteReference"/>
        </w:rPr>
        <w:footnoteReference w:id="14"/>
      </w:r>
    </w:p>
    <w:p w:rsidR="00654232" w:rsidRPr="004F16CD" w:rsidRDefault="00654232" w:rsidP="00C26717">
      <w:pPr>
        <w:pStyle w:val="ListNumber"/>
      </w:pPr>
      <w:r w:rsidRPr="004F16CD">
        <w:t xml:space="preserve">Whilst the document is currently being consulted on at the time of this HNA report, it is important to consider the implications of this emerging policy guidance for potential housing need calculations in the NDP. Therefore, what follows is an assessment of the NPA’s housing need based on the new proposed methodology which, should the policy be put in place in its current form, </w:t>
      </w:r>
      <w:r w:rsidR="008734F7">
        <w:t>provide</w:t>
      </w:r>
      <w:r w:rsidRPr="004F16CD">
        <w:t xml:space="preserve"> the preferred figures for housing need in the area. This projection is included </w:t>
      </w:r>
      <w:r w:rsidRPr="004F16CD">
        <w:rPr>
          <w:i/>
          <w:iCs/>
        </w:rPr>
        <w:t>for information only</w:t>
      </w:r>
      <w:r w:rsidRPr="004F16CD">
        <w:t>, bearing in mind that the consultation makes clear that LPAs will have the option of using alternative methods of calculating their OAN, so long as the number they arrive at exceeds that produced by the new standard methodology.</w:t>
      </w:r>
    </w:p>
    <w:p w:rsidR="00654232" w:rsidRPr="004F16CD" w:rsidRDefault="00654232" w:rsidP="00C26717">
      <w:pPr>
        <w:pStyle w:val="ListNumber"/>
      </w:pPr>
      <w:r w:rsidRPr="004F16CD">
        <w:t>Proposed updates to the PPG include a requirement that LPAs provide a housing need figure to neighbourhood planning groups, and that they may do this by making a reasoned judgement based on the settlement strategy and housing allocations in their plan, so long as the local plan provides a sufficiently up-to-date basis to do so.</w:t>
      </w:r>
      <w:r w:rsidRPr="009144D7">
        <w:rPr>
          <w:rStyle w:val="FootnoteReference"/>
          <w:rFonts w:ascii="Arial" w:hAnsi="Arial" w:cs="Arial"/>
        </w:rPr>
        <w:footnoteReference w:id="15"/>
      </w:r>
      <w:r w:rsidRPr="004F16CD">
        <w:t xml:space="preserve"> The starting point for using the SMAHN for the neighbourhood level is therefore whether the current Local Plan was adopted before or after the introduction of the NPPF. </w:t>
      </w:r>
    </w:p>
    <w:p w:rsidR="00654232" w:rsidRPr="004F16CD" w:rsidRDefault="00654232" w:rsidP="00C26717">
      <w:pPr>
        <w:pStyle w:val="ListNumber"/>
      </w:pPr>
      <w:r w:rsidRPr="004F16CD">
        <w:t>In the case of West Wittering, the Chichester Local Plan was adopted in 2015, and therefore provides an up-to-date basis</w:t>
      </w:r>
      <w:r>
        <w:t xml:space="preserve"> for arriving at a housing need</w:t>
      </w:r>
      <w:r w:rsidRPr="004F16CD">
        <w:t xml:space="preserve"> figure for the NPA. </w:t>
      </w:r>
      <w:r>
        <w:t>T</w:t>
      </w:r>
      <w:r w:rsidRPr="004F16CD">
        <w:t xml:space="preserve">he indicative assessment using the SMAHN formula is </w:t>
      </w:r>
      <w:r w:rsidRPr="004F16CD">
        <w:rPr>
          <w:b/>
        </w:rPr>
        <w:t>609</w:t>
      </w:r>
      <w:r w:rsidRPr="004F16CD">
        <w:t xml:space="preserve"> dwellings per annum for Chichester. This is </w:t>
      </w:r>
      <w:proofErr w:type="gramStart"/>
      <w:r w:rsidRPr="004F16CD">
        <w:t>an uplift</w:t>
      </w:r>
      <w:proofErr w:type="gramEnd"/>
      <w:r w:rsidRPr="004F16CD">
        <w:t xml:space="preserve"> on the current figure of 435 set out in the Chichester Local Plan of around 40%, and suggests there should be an increase of </w:t>
      </w:r>
      <w:r w:rsidRPr="004F16CD">
        <w:rPr>
          <w:b/>
        </w:rPr>
        <w:t>2,965</w:t>
      </w:r>
      <w:r w:rsidRPr="004F16CD">
        <w:t xml:space="preserve"> dwellings over the </w:t>
      </w:r>
      <w:r w:rsidR="000375DA">
        <w:t>Plan period</w:t>
      </w:r>
      <w:r w:rsidRPr="004F16CD">
        <w:t xml:space="preserve"> from 2012 to 2029, or a new target of </w:t>
      </w:r>
      <w:r w:rsidRPr="004F16CD">
        <w:rPr>
          <w:b/>
        </w:rPr>
        <w:t>10,353</w:t>
      </w:r>
      <w:r w:rsidRPr="004F16CD">
        <w:t xml:space="preserve">.  As this total falls within the proposed 40% cap, it is reasonable to assume at this point that Chichester may see </w:t>
      </w:r>
      <w:proofErr w:type="gramStart"/>
      <w:r w:rsidRPr="004F16CD">
        <w:t>an uplift</w:t>
      </w:r>
      <w:proofErr w:type="gramEnd"/>
      <w:r w:rsidRPr="004F16CD">
        <w:t xml:space="preserve"> in its housing need figure in the order of 40% with the introduction of the SMAHN. </w:t>
      </w:r>
    </w:p>
    <w:p w:rsidR="00654232" w:rsidRPr="00832040" w:rsidRDefault="00654232" w:rsidP="00C26717">
      <w:pPr>
        <w:pStyle w:val="ListNumber"/>
      </w:pPr>
      <w:r w:rsidRPr="004F16CD">
        <w:lastRenderedPageBreak/>
        <w:t xml:space="preserve">Assuming a new OAN for housing of </w:t>
      </w:r>
      <w:r w:rsidRPr="00FF3A87">
        <w:rPr>
          <w:b/>
        </w:rPr>
        <w:t>609</w:t>
      </w:r>
      <w:r w:rsidRPr="004F16CD">
        <w:t xml:space="preserve"> dwellings, this would produce a revised projection for the NPA based on this number of 3.23%. Taking into account the 71 dwellings built in the </w:t>
      </w:r>
      <w:r w:rsidR="005F5CF8">
        <w:t>Parish</w:t>
      </w:r>
      <w:r w:rsidRPr="004F16CD">
        <w:t xml:space="preserve"> since the 2011 Census, a housing needs figure that is compliant with the SMAHN is </w:t>
      </w:r>
      <w:r w:rsidRPr="004F16CD">
        <w:rPr>
          <w:b/>
        </w:rPr>
        <w:t>264</w:t>
      </w:r>
      <w:r w:rsidRPr="004F16CD">
        <w:t xml:space="preserve"> dwellings or </w:t>
      </w:r>
      <w:r w:rsidRPr="004F16CD">
        <w:rPr>
          <w:b/>
        </w:rPr>
        <w:t>22</w:t>
      </w:r>
      <w:r w:rsidRPr="004F16CD">
        <w:t xml:space="preserve"> </w:t>
      </w:r>
      <w:proofErr w:type="spellStart"/>
      <w:r w:rsidR="00BE12EC">
        <w:t>dpa</w:t>
      </w:r>
      <w:proofErr w:type="spellEnd"/>
      <w:r w:rsidRPr="004F16CD">
        <w:t>.</w:t>
      </w:r>
      <w:r w:rsidRPr="00832040">
        <w:t xml:space="preserve"> </w:t>
      </w:r>
    </w:p>
    <w:p w:rsidR="00C26717" w:rsidRDefault="00C26717">
      <w:pPr>
        <w:tabs>
          <w:tab w:val="clear" w:pos="284"/>
        </w:tabs>
        <w:spacing w:line="240" w:lineRule="auto"/>
      </w:pPr>
      <w:r>
        <w:br w:type="page"/>
      </w:r>
    </w:p>
    <w:p w:rsidR="00427701" w:rsidRPr="00427701" w:rsidRDefault="00427701" w:rsidP="00C26717">
      <w:pPr>
        <w:pStyle w:val="Heading1"/>
      </w:pPr>
      <w:bookmarkStart w:id="93" w:name="_Toc504464736"/>
      <w:bookmarkStart w:id="94" w:name="_Toc486850626"/>
      <w:r w:rsidRPr="00427701">
        <w:lastRenderedPageBreak/>
        <w:t xml:space="preserve">RQ2. What </w:t>
      </w:r>
      <w:r w:rsidRPr="00427701">
        <w:rPr>
          <w:u w:val="single"/>
        </w:rPr>
        <w:t xml:space="preserve">affordable housing </w:t>
      </w:r>
      <w:r w:rsidRPr="00427701">
        <w:t xml:space="preserve">(social housing, affordable rented, shared ownership, intermediate rented) and </w:t>
      </w:r>
      <w:r w:rsidRPr="00427701">
        <w:rPr>
          <w:u w:val="single"/>
        </w:rPr>
        <w:t>market housing tenures</w:t>
      </w:r>
      <w:r w:rsidRPr="00427701">
        <w:t xml:space="preserve"> should be included in the housing mix?</w:t>
      </w:r>
      <w:bookmarkEnd w:id="93"/>
    </w:p>
    <w:p w:rsidR="0028000E" w:rsidRDefault="00F0016A" w:rsidP="00C26717">
      <w:pPr>
        <w:pStyle w:val="ListNumber"/>
      </w:pPr>
      <w:r w:rsidRPr="00F0016A">
        <w:t xml:space="preserve">The provision of affordable housing is critical to the continuation of most communities as viable settlements; it needs however to be understood in relation to other tenures. </w:t>
      </w:r>
      <w:r w:rsidR="0028000E" w:rsidRPr="00091930">
        <w:t>The PPG states that HNAs should investigate household tenure in the current stock and recent supply, and make an assessment, based on a reasonable interpretation of the evidence gathered, whether continuation of these trends would meet future needs or whether, on account of significant misalignments between supply of housing falling into different tenure types and local need/demand, policies should support a change to the profile of tenure within the NPA’s housing stock.</w:t>
      </w:r>
      <w:r w:rsidR="0028000E" w:rsidRPr="00091930">
        <w:rPr>
          <w:rStyle w:val="FootnoteReference"/>
          <w:rFonts w:ascii="Arial" w:hAnsi="Arial" w:cs="Arial"/>
        </w:rPr>
        <w:footnoteReference w:id="16"/>
      </w:r>
    </w:p>
    <w:p w:rsidR="0028000E" w:rsidRPr="002B4E1A" w:rsidRDefault="0028000E" w:rsidP="00C26717">
      <w:pPr>
        <w:pStyle w:val="Heading2"/>
      </w:pPr>
      <w:bookmarkStart w:id="95" w:name="_Toc488669497"/>
      <w:bookmarkStart w:id="96" w:name="_Toc504464737"/>
      <w:r w:rsidRPr="002B4E1A">
        <w:t>Definitional issues</w:t>
      </w:r>
      <w:bookmarkEnd w:id="94"/>
      <w:bookmarkEnd w:id="95"/>
      <w:bookmarkEnd w:id="96"/>
    </w:p>
    <w:p w:rsidR="0028000E" w:rsidRPr="001C6652" w:rsidRDefault="0028000E" w:rsidP="00C26717">
      <w:pPr>
        <w:pStyle w:val="ListNumber"/>
      </w:pPr>
      <w:r w:rsidRPr="00F27E0B">
        <w:t xml:space="preserve">It is necessary at this stage of the study to make clear the distinction between affordable homes as a piece of planning terminology and the colloquial meaning of the phrase. In the course of this study, we refer to Affordable Housing, abbreviated to ‘AH’. We mean by this those forms of housing tenure that fall within the definition of Affordable Housing set out in the NPPF: social, affordable rented and various forms of intermediate housing. To distinguish this from the colloquial definition, we refer to the latter as Affordable Market Housing (AMH). </w:t>
      </w:r>
    </w:p>
    <w:p w:rsidR="0028000E" w:rsidRPr="002B4E1A" w:rsidRDefault="0028000E" w:rsidP="00C26717">
      <w:pPr>
        <w:pStyle w:val="ListNumber"/>
      </w:pPr>
      <w:r w:rsidRPr="002B4E1A">
        <w:rPr>
          <w:rFonts w:cs="Arial"/>
        </w:rPr>
        <w:t xml:space="preserve">In this paragraph we briefly review the proposed reforms to the definition of AH set out in the Government’s Housing White Paper published in February 2017. </w:t>
      </w:r>
      <w:r w:rsidRPr="002B4E1A">
        <w:t xml:space="preserve">These reforms make clear its commitment to home ownership but recognised the important role of affordable rent for those not currently seeking home ownership. The changes proposed would broaden the definition of affordable housing, supporting ‘present and future innovation by housing providers in meeting the needs of a wide range of households who are unable to access market housing’. This would include ‘products that are analogous to low cost market housing or intermediate rent, such as discount market sales or innovative rent to buy housing. Some of these products may not be subject to ‘in perpetuity’ restrictions or have recycled subsidy’. </w:t>
      </w:r>
    </w:p>
    <w:p w:rsidR="0028000E" w:rsidRPr="002B4E1A" w:rsidRDefault="0028000E" w:rsidP="00C26717">
      <w:pPr>
        <w:pStyle w:val="ListNumber"/>
      </w:pPr>
      <w:r w:rsidRPr="002B4E1A">
        <w:t>The Housing and Planning Act 2016 made provision for a new simplified definition of affordable housing as ‘new dwellings…to be made available for people whose needs are not adequately served by the commercial housing market’</w:t>
      </w:r>
      <w:r w:rsidR="00BE12EC">
        <w:t>.</w:t>
      </w:r>
      <w:r w:rsidRPr="002B4E1A">
        <w:rPr>
          <w:rStyle w:val="FootnoteReference"/>
        </w:rPr>
        <w:footnoteReference w:id="17"/>
      </w:r>
      <w:r w:rsidRPr="002B4E1A">
        <w:t xml:space="preserve"> Secondary legislation is required to implement this definition, necessitating further parliamentary debate</w:t>
      </w:r>
      <w:r w:rsidR="00BE12EC">
        <w:t>.</w:t>
      </w:r>
      <w:r w:rsidRPr="002B4E1A">
        <w:rPr>
          <w:rStyle w:val="FootnoteReference"/>
        </w:rPr>
        <w:footnoteReference w:id="18"/>
      </w:r>
      <w:r w:rsidRPr="002B4E1A">
        <w:t xml:space="preserve"> </w:t>
      </w:r>
    </w:p>
    <w:p w:rsidR="0028000E" w:rsidRPr="002B4E1A" w:rsidRDefault="0028000E" w:rsidP="00C26717">
      <w:pPr>
        <w:pStyle w:val="ListNumber"/>
      </w:pPr>
      <w:r w:rsidRPr="002B4E1A">
        <w:t>The Housing White Paper</w:t>
      </w:r>
      <w:r w:rsidRPr="002B4E1A">
        <w:rPr>
          <w:rStyle w:val="FootnoteReference"/>
        </w:rPr>
        <w:footnoteReference w:id="19"/>
      </w:r>
      <w:r w:rsidRPr="002B4E1A">
        <w:t xml:space="preserve"> confirms that a revised definition of AH will be brought forward through changes to the NPPF later this year, proposing a definition as ‘housing that is provided for sale or rent to those whose needs are not met by the market (this can include housing that provides a subsidised route to home ownership’ and which ‘meets the criteria’ for one of the following models</w:t>
      </w:r>
      <w:r w:rsidR="00AD5134">
        <w:t>:</w:t>
      </w:r>
      <w:r w:rsidRPr="002B4E1A">
        <w:rPr>
          <w:rStyle w:val="FootnoteReference"/>
        </w:rPr>
        <w:footnoteReference w:id="20"/>
      </w:r>
    </w:p>
    <w:p w:rsidR="0028000E" w:rsidRPr="002B4E1A" w:rsidRDefault="0028000E" w:rsidP="00C26717">
      <w:pPr>
        <w:pStyle w:val="2BodyText"/>
        <w:numPr>
          <w:ilvl w:val="1"/>
          <w:numId w:val="30"/>
        </w:numPr>
        <w:spacing w:line="276" w:lineRule="auto"/>
        <w:ind w:left="1134" w:hanging="425"/>
        <w:rPr>
          <w:szCs w:val="18"/>
        </w:rPr>
      </w:pPr>
      <w:r w:rsidRPr="002B4E1A">
        <w:rPr>
          <w:b/>
          <w:szCs w:val="18"/>
        </w:rPr>
        <w:t xml:space="preserve">Social rented </w:t>
      </w:r>
      <w:proofErr w:type="gramStart"/>
      <w:r w:rsidRPr="002B4E1A">
        <w:rPr>
          <w:b/>
          <w:szCs w:val="18"/>
        </w:rPr>
        <w:t>housing</w:t>
      </w:r>
      <w:r w:rsidRPr="002B4E1A">
        <w:rPr>
          <w:szCs w:val="18"/>
        </w:rPr>
        <w:t>,</w:t>
      </w:r>
      <w:proofErr w:type="gramEnd"/>
      <w:r w:rsidRPr="002B4E1A">
        <w:rPr>
          <w:szCs w:val="18"/>
        </w:rPr>
        <w:t xml:space="preserve"> defined as currently and owned by local authorities and private registered providers with guideline target rents determined through the national rent regime. It may be owned by other persons and provided under equivalent rental arrangements, as agreed with the local authority or Homes and Communities Agency;</w:t>
      </w:r>
    </w:p>
    <w:p w:rsidR="0028000E" w:rsidRPr="002B4E1A" w:rsidRDefault="0028000E" w:rsidP="00C26717">
      <w:pPr>
        <w:pStyle w:val="2BodyText"/>
        <w:numPr>
          <w:ilvl w:val="1"/>
          <w:numId w:val="30"/>
        </w:numPr>
        <w:spacing w:line="276" w:lineRule="auto"/>
        <w:ind w:left="1134" w:hanging="425"/>
        <w:rPr>
          <w:szCs w:val="18"/>
        </w:rPr>
      </w:pPr>
      <w:r w:rsidRPr="002B4E1A">
        <w:rPr>
          <w:b/>
          <w:szCs w:val="18"/>
        </w:rPr>
        <w:t xml:space="preserve">Affordable rented </w:t>
      </w:r>
      <w:proofErr w:type="gramStart"/>
      <w:r w:rsidRPr="002B4E1A">
        <w:rPr>
          <w:b/>
          <w:szCs w:val="18"/>
        </w:rPr>
        <w:t>housing</w:t>
      </w:r>
      <w:r w:rsidRPr="002B4E1A">
        <w:rPr>
          <w:szCs w:val="18"/>
        </w:rPr>
        <w:t>,</w:t>
      </w:r>
      <w:proofErr w:type="gramEnd"/>
      <w:r w:rsidRPr="002B4E1A">
        <w:rPr>
          <w:szCs w:val="18"/>
        </w:rPr>
        <w:t xml:space="preserve"> defined as currently and let by local authorities or private registered providers of social housing to households eligible for social rented housing. Affordable rent is controlled at no more than 80% of the local market rent including service charges where applicable;</w:t>
      </w:r>
    </w:p>
    <w:p w:rsidR="0028000E" w:rsidRPr="002B4E1A" w:rsidRDefault="0028000E" w:rsidP="00C26717">
      <w:pPr>
        <w:pStyle w:val="2BodyText"/>
        <w:numPr>
          <w:ilvl w:val="1"/>
          <w:numId w:val="30"/>
        </w:numPr>
        <w:spacing w:line="276" w:lineRule="auto"/>
        <w:ind w:left="1134" w:hanging="425"/>
        <w:rPr>
          <w:szCs w:val="18"/>
        </w:rPr>
      </w:pPr>
      <w:r w:rsidRPr="002B4E1A">
        <w:rPr>
          <w:b/>
          <w:szCs w:val="18"/>
        </w:rPr>
        <w:t>Starter Homes</w:t>
      </w:r>
      <w:r w:rsidRPr="002B4E1A">
        <w:rPr>
          <w:szCs w:val="18"/>
        </w:rPr>
        <w:t>, as defined in the Housing and Planning Act 2016 and subsequent secondary legislation with an income restriction of £80,000 outside London. These homes are expected to provide a new low cost market housing product for first time buyers between the ages of 23 and 40 with a mortgage, sold for no more than 80% of open market value and capped at £250,000 outside London;</w:t>
      </w:r>
    </w:p>
    <w:p w:rsidR="0028000E" w:rsidRPr="002B4E1A" w:rsidRDefault="0028000E" w:rsidP="00C26717">
      <w:pPr>
        <w:pStyle w:val="2BodyText"/>
        <w:numPr>
          <w:ilvl w:val="1"/>
          <w:numId w:val="30"/>
        </w:numPr>
        <w:spacing w:line="276" w:lineRule="auto"/>
        <w:ind w:left="1134" w:hanging="425"/>
        <w:rPr>
          <w:szCs w:val="18"/>
        </w:rPr>
      </w:pPr>
      <w:r w:rsidRPr="002B4E1A">
        <w:rPr>
          <w:b/>
          <w:szCs w:val="18"/>
        </w:rPr>
        <w:lastRenderedPageBreak/>
        <w:t>Discounted market sales housing</w:t>
      </w:r>
      <w:r w:rsidRPr="002B4E1A">
        <w:rPr>
          <w:szCs w:val="18"/>
        </w:rPr>
        <w:t>, sold at a discount of at least 20% below market value with provision to remain at a discount for future eligible households. Eligibility is to be determined with regard to local incomes and house prices;</w:t>
      </w:r>
    </w:p>
    <w:p w:rsidR="0028000E" w:rsidRDefault="0028000E" w:rsidP="00C26717">
      <w:pPr>
        <w:pStyle w:val="2BodyText"/>
        <w:numPr>
          <w:ilvl w:val="1"/>
          <w:numId w:val="30"/>
        </w:numPr>
        <w:spacing w:line="276" w:lineRule="auto"/>
        <w:ind w:left="1134" w:hanging="425"/>
        <w:rPr>
          <w:szCs w:val="18"/>
        </w:rPr>
      </w:pPr>
      <w:r w:rsidRPr="002B4E1A">
        <w:rPr>
          <w:b/>
          <w:szCs w:val="18"/>
        </w:rPr>
        <w:t>Affordable private rent housing</w:t>
      </w:r>
      <w:r w:rsidRPr="002B4E1A">
        <w:rPr>
          <w:szCs w:val="18"/>
        </w:rPr>
        <w:t>, made available for rent at a level which is at least 20% below local market rent with provision to ensure that rent remains at a discounted level or alternative affordable housing provision is made if the discount is withdrawn. This is viewed as particularly suited to the provision of affordable housing in Build to Rent schemes; and</w:t>
      </w:r>
    </w:p>
    <w:p w:rsidR="0028000E" w:rsidRDefault="0028000E" w:rsidP="00C26717">
      <w:pPr>
        <w:pStyle w:val="2BodyText"/>
        <w:numPr>
          <w:ilvl w:val="1"/>
          <w:numId w:val="30"/>
        </w:numPr>
        <w:spacing w:line="276" w:lineRule="auto"/>
        <w:ind w:left="1134" w:hanging="425"/>
        <w:rPr>
          <w:szCs w:val="18"/>
        </w:rPr>
      </w:pPr>
      <w:r w:rsidRPr="00F27E0B">
        <w:rPr>
          <w:szCs w:val="18"/>
        </w:rPr>
        <w:t xml:space="preserve"> </w:t>
      </w:r>
      <w:r w:rsidRPr="00F27E0B">
        <w:rPr>
          <w:b/>
          <w:szCs w:val="18"/>
        </w:rPr>
        <w:t>Intermediate housing</w:t>
      </w:r>
      <w:r w:rsidRPr="00F27E0B">
        <w:rPr>
          <w:szCs w:val="18"/>
        </w:rPr>
        <w:t>, defined to include discounted market sales and affordable private rent housing – as outlined above – and other housing that is ‘provided for sale and rent at a cost above social rent, but below market levels’.</w:t>
      </w:r>
    </w:p>
    <w:p w:rsidR="0028000E" w:rsidRPr="00F27E0B" w:rsidRDefault="0028000E" w:rsidP="00C26717">
      <w:pPr>
        <w:pStyle w:val="ListNumber"/>
      </w:pPr>
      <w:r w:rsidRPr="00F27E0B">
        <w:t>A transition period is proposed to enable a review of local policies, with the revised definitions intended to apply from April 2018. The Government also intends to introduce a requirement for sites of 10 units or more to ensure that at least 10% of all homes are affordable home ownership products, including Starter Homes, shared ownership homes and homes available for discount market sale</w:t>
      </w:r>
      <w:r w:rsidRPr="00F27E0B">
        <w:rPr>
          <w:i/>
        </w:rPr>
        <w:t>.</w:t>
      </w:r>
    </w:p>
    <w:p w:rsidR="0028000E" w:rsidRDefault="0028000E" w:rsidP="00C26717">
      <w:pPr>
        <w:pStyle w:val="ListNumber"/>
      </w:pPr>
      <w:r w:rsidRPr="002B4E1A">
        <w:t xml:space="preserve">The evidence assembled to answer RQ2 seeks to populate a series of ‘key indicators’; these are the </w:t>
      </w:r>
      <w:r w:rsidRPr="0028000E">
        <w:rPr>
          <w:u w:val="single"/>
        </w:rPr>
        <w:t>age structure</w:t>
      </w:r>
      <w:r w:rsidRPr="002B4E1A">
        <w:t xml:space="preserve"> of the population, </w:t>
      </w:r>
      <w:r w:rsidRPr="0028000E">
        <w:rPr>
          <w:u w:val="single"/>
        </w:rPr>
        <w:t>household composition and income</w:t>
      </w:r>
      <w:r w:rsidRPr="002B4E1A">
        <w:t xml:space="preserve"> both now and how they are forecast to change in future years. Through a consideration of these trends and how they interrelate to each other, it is possible to arrive at recommendations as to how not only the tenure of housing in the plan area, but also type and size should be modified through planning policy. </w:t>
      </w:r>
    </w:p>
    <w:p w:rsidR="0028000E" w:rsidRPr="002B4E1A" w:rsidRDefault="0028000E" w:rsidP="00C26717">
      <w:pPr>
        <w:pStyle w:val="Heading2"/>
      </w:pPr>
      <w:bookmarkStart w:id="97" w:name="_Toc486850627"/>
      <w:bookmarkStart w:id="98" w:name="_Toc488669498"/>
      <w:bookmarkStart w:id="99" w:name="_Toc504464738"/>
      <w:r w:rsidRPr="002B4E1A">
        <w:t>Current tenure profile</w:t>
      </w:r>
      <w:bookmarkEnd w:id="97"/>
      <w:bookmarkEnd w:id="98"/>
      <w:bookmarkEnd w:id="99"/>
    </w:p>
    <w:p w:rsidR="00255355" w:rsidRPr="00C8167D" w:rsidRDefault="0028000E" w:rsidP="00C26717">
      <w:pPr>
        <w:pStyle w:val="ListNumber"/>
        <w:rPr>
          <w:color w:val="000000" w:themeColor="text1"/>
        </w:rPr>
      </w:pPr>
      <w:r w:rsidRPr="00091930">
        <w:t xml:space="preserve">Before we present this data, it is necessary to present a picture of tenure in the NPA </w:t>
      </w:r>
      <w:r w:rsidR="00C8167D">
        <w:t>based on the most recent reliable data</w:t>
      </w:r>
      <w:r w:rsidRPr="00091930">
        <w:t xml:space="preserve">. </w:t>
      </w:r>
      <w:r>
        <w:t xml:space="preserve">The table </w:t>
      </w:r>
      <w:r w:rsidRPr="00091930">
        <w:t xml:space="preserve">below presents </w:t>
      </w:r>
      <w:r w:rsidR="004231F6">
        <w:t>C</w:t>
      </w:r>
      <w:r w:rsidR="00C8167D">
        <w:t xml:space="preserve">ensus data from 2011 that shows the overwhelming majority of dwellings in the NPA are in owner occupation. The tenure profile offers some stark contrasts with </w:t>
      </w:r>
      <w:r w:rsidR="005F5CF8">
        <w:t>District</w:t>
      </w:r>
      <w:r w:rsidR="00C8167D">
        <w:t xml:space="preserve"> data, the representation of those dwellings in owner occupation exceeds the </w:t>
      </w:r>
      <w:r w:rsidR="005F5CF8">
        <w:t>District</w:t>
      </w:r>
      <w:r w:rsidR="00C8167D">
        <w:t xml:space="preserve"> by 16.3%, </w:t>
      </w:r>
      <w:proofErr w:type="gramStart"/>
      <w:r w:rsidR="00C8167D">
        <w:t>the</w:t>
      </w:r>
      <w:proofErr w:type="gramEnd"/>
      <w:r w:rsidR="00C8167D">
        <w:t xml:space="preserve"> stock of socially rented dwellings is substantially less, showing a difference of roughly 10%. </w:t>
      </w:r>
    </w:p>
    <w:p w:rsidR="00C26717" w:rsidRDefault="00C26717" w:rsidP="00C26717">
      <w:pPr>
        <w:pStyle w:val="Caption"/>
      </w:pPr>
      <w:r>
        <w:t xml:space="preserve">Table </w:t>
      </w:r>
      <w:fldSimple w:instr=" SEQ Table \* ARABIC ">
        <w:r w:rsidR="00B25544">
          <w:rPr>
            <w:noProof/>
          </w:rPr>
          <w:t>3</w:t>
        </w:r>
      </w:fldSimple>
      <w:r>
        <w:t xml:space="preserve">: </w:t>
      </w:r>
      <w:r w:rsidRPr="00F7185A">
        <w:t>Tenure (households) in West Wittering, 2011</w:t>
      </w:r>
    </w:p>
    <w:tbl>
      <w:tblPr>
        <w:tblW w:w="6389" w:type="dxa"/>
        <w:tblInd w:w="98" w:type="dxa"/>
        <w:tblLook w:val="04A0" w:firstRow="1" w:lastRow="0" w:firstColumn="1" w:lastColumn="0" w:noHBand="0" w:noVBand="1"/>
      </w:tblPr>
      <w:tblGrid>
        <w:gridCol w:w="1995"/>
        <w:gridCol w:w="1701"/>
        <w:gridCol w:w="1417"/>
        <w:gridCol w:w="1276"/>
      </w:tblGrid>
      <w:tr w:rsidR="00C8167D" w:rsidRPr="00C8167D" w:rsidTr="00C8167D">
        <w:trPr>
          <w:trHeight w:val="240"/>
        </w:trPr>
        <w:tc>
          <w:tcPr>
            <w:tcW w:w="1995"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C8167D" w:rsidRPr="00C8167D" w:rsidRDefault="00C8167D" w:rsidP="00C8167D">
            <w:pPr>
              <w:tabs>
                <w:tab w:val="clear" w:pos="284"/>
              </w:tabs>
              <w:spacing w:line="240" w:lineRule="auto"/>
              <w:rPr>
                <w:rFonts w:ascii="Arial" w:eastAsia="Times New Roman" w:hAnsi="Arial" w:cs="Arial"/>
                <w:b/>
                <w:bCs/>
                <w:color w:val="000000"/>
                <w:kern w:val="0"/>
                <w:lang w:eastAsia="en-GB"/>
              </w:rPr>
            </w:pPr>
            <w:r w:rsidRPr="00C8167D">
              <w:rPr>
                <w:rFonts w:ascii="Arial" w:eastAsia="Times New Roman" w:hAnsi="Arial" w:cs="Arial"/>
                <w:b/>
                <w:bCs/>
                <w:color w:val="000000"/>
                <w:kern w:val="0"/>
                <w:lang w:eastAsia="en-GB"/>
              </w:rPr>
              <w:t>Tenure</w:t>
            </w:r>
          </w:p>
        </w:tc>
        <w:tc>
          <w:tcPr>
            <w:tcW w:w="1701" w:type="dxa"/>
            <w:tcBorders>
              <w:top w:val="single" w:sz="8" w:space="0" w:color="auto"/>
              <w:left w:val="nil"/>
              <w:bottom w:val="single" w:sz="4" w:space="0" w:color="auto"/>
              <w:right w:val="single" w:sz="4" w:space="0" w:color="auto"/>
            </w:tcBorders>
            <w:shd w:val="clear" w:color="auto" w:fill="auto"/>
            <w:noWrap/>
            <w:vAlign w:val="bottom"/>
            <w:hideMark/>
          </w:tcPr>
          <w:p w:rsidR="00C8167D" w:rsidRPr="00C8167D" w:rsidRDefault="00C8167D" w:rsidP="00C8167D">
            <w:pPr>
              <w:tabs>
                <w:tab w:val="clear" w:pos="284"/>
              </w:tabs>
              <w:spacing w:line="240" w:lineRule="auto"/>
              <w:rPr>
                <w:rFonts w:ascii="Arial" w:eastAsia="Times New Roman" w:hAnsi="Arial" w:cs="Arial"/>
                <w:b/>
                <w:bCs/>
                <w:color w:val="000000"/>
                <w:kern w:val="0"/>
                <w:lang w:eastAsia="en-GB"/>
              </w:rPr>
            </w:pPr>
            <w:r w:rsidRPr="00C8167D">
              <w:rPr>
                <w:rFonts w:ascii="Arial" w:eastAsia="Times New Roman" w:hAnsi="Arial" w:cs="Arial"/>
                <w:b/>
                <w:bCs/>
                <w:color w:val="000000"/>
                <w:kern w:val="0"/>
                <w:lang w:eastAsia="en-GB"/>
              </w:rPr>
              <w:t>West Wittering</w:t>
            </w:r>
          </w:p>
        </w:tc>
        <w:tc>
          <w:tcPr>
            <w:tcW w:w="1417" w:type="dxa"/>
            <w:tcBorders>
              <w:top w:val="single" w:sz="8" w:space="0" w:color="auto"/>
              <w:left w:val="nil"/>
              <w:bottom w:val="single" w:sz="4" w:space="0" w:color="auto"/>
              <w:right w:val="single" w:sz="4" w:space="0" w:color="auto"/>
            </w:tcBorders>
            <w:shd w:val="clear" w:color="auto" w:fill="auto"/>
            <w:noWrap/>
            <w:vAlign w:val="bottom"/>
            <w:hideMark/>
          </w:tcPr>
          <w:p w:rsidR="00C8167D" w:rsidRPr="00C8167D" w:rsidRDefault="00C8167D" w:rsidP="00C8167D">
            <w:pPr>
              <w:tabs>
                <w:tab w:val="clear" w:pos="284"/>
              </w:tabs>
              <w:spacing w:line="240" w:lineRule="auto"/>
              <w:rPr>
                <w:rFonts w:ascii="Arial" w:eastAsia="Times New Roman" w:hAnsi="Arial" w:cs="Arial"/>
                <w:b/>
                <w:bCs/>
                <w:color w:val="000000"/>
                <w:kern w:val="0"/>
                <w:lang w:eastAsia="en-GB"/>
              </w:rPr>
            </w:pPr>
            <w:r w:rsidRPr="00C8167D">
              <w:rPr>
                <w:rFonts w:ascii="Arial" w:eastAsia="Times New Roman" w:hAnsi="Arial" w:cs="Arial"/>
                <w:b/>
                <w:bCs/>
                <w:color w:val="000000"/>
                <w:kern w:val="0"/>
                <w:lang w:eastAsia="en-GB"/>
              </w:rPr>
              <w:t>Chichester</w:t>
            </w:r>
          </w:p>
        </w:tc>
        <w:tc>
          <w:tcPr>
            <w:tcW w:w="1276" w:type="dxa"/>
            <w:tcBorders>
              <w:top w:val="single" w:sz="8" w:space="0" w:color="auto"/>
              <w:left w:val="nil"/>
              <w:bottom w:val="single" w:sz="4" w:space="0" w:color="auto"/>
              <w:right w:val="single" w:sz="8" w:space="0" w:color="auto"/>
            </w:tcBorders>
            <w:shd w:val="clear" w:color="auto" w:fill="auto"/>
            <w:noWrap/>
            <w:vAlign w:val="bottom"/>
            <w:hideMark/>
          </w:tcPr>
          <w:p w:rsidR="00C8167D" w:rsidRPr="00C8167D" w:rsidRDefault="00C8167D" w:rsidP="00C8167D">
            <w:pPr>
              <w:tabs>
                <w:tab w:val="clear" w:pos="284"/>
              </w:tabs>
              <w:spacing w:line="240" w:lineRule="auto"/>
              <w:rPr>
                <w:rFonts w:ascii="Arial" w:eastAsia="Times New Roman" w:hAnsi="Arial" w:cs="Arial"/>
                <w:b/>
                <w:bCs/>
                <w:color w:val="000000"/>
                <w:kern w:val="0"/>
                <w:lang w:eastAsia="en-GB"/>
              </w:rPr>
            </w:pPr>
            <w:r w:rsidRPr="00C8167D">
              <w:rPr>
                <w:rFonts w:ascii="Arial" w:eastAsia="Times New Roman" w:hAnsi="Arial" w:cs="Arial"/>
                <w:b/>
                <w:bCs/>
                <w:color w:val="000000"/>
                <w:kern w:val="0"/>
                <w:lang w:eastAsia="en-GB"/>
              </w:rPr>
              <w:t>England</w:t>
            </w:r>
          </w:p>
        </w:tc>
      </w:tr>
      <w:tr w:rsidR="00C8167D" w:rsidRPr="00C8167D" w:rsidTr="00C8167D">
        <w:trPr>
          <w:trHeight w:val="228"/>
        </w:trPr>
        <w:tc>
          <w:tcPr>
            <w:tcW w:w="1995" w:type="dxa"/>
            <w:tcBorders>
              <w:top w:val="nil"/>
              <w:left w:val="single" w:sz="8" w:space="0" w:color="auto"/>
              <w:bottom w:val="single" w:sz="4" w:space="0" w:color="auto"/>
              <w:right w:val="single" w:sz="4" w:space="0" w:color="auto"/>
            </w:tcBorders>
            <w:shd w:val="clear" w:color="auto" w:fill="auto"/>
            <w:noWrap/>
            <w:vAlign w:val="bottom"/>
            <w:hideMark/>
          </w:tcPr>
          <w:p w:rsidR="00C8167D" w:rsidRPr="00C8167D" w:rsidRDefault="00C8167D" w:rsidP="00C8167D">
            <w:pPr>
              <w:tabs>
                <w:tab w:val="clear" w:pos="284"/>
              </w:tabs>
              <w:spacing w:line="240" w:lineRule="auto"/>
              <w:rPr>
                <w:rFonts w:ascii="Arial" w:eastAsia="Times New Roman" w:hAnsi="Arial" w:cs="Arial"/>
                <w:color w:val="000000"/>
                <w:kern w:val="0"/>
                <w:lang w:eastAsia="en-GB"/>
              </w:rPr>
            </w:pPr>
            <w:r w:rsidRPr="00C8167D">
              <w:rPr>
                <w:rFonts w:ascii="Arial" w:eastAsia="Times New Roman" w:hAnsi="Arial" w:cs="Arial"/>
                <w:color w:val="000000"/>
                <w:kern w:val="0"/>
                <w:lang w:eastAsia="en-GB"/>
              </w:rPr>
              <w:t>Owned; total</w:t>
            </w:r>
          </w:p>
        </w:tc>
        <w:tc>
          <w:tcPr>
            <w:tcW w:w="1701" w:type="dxa"/>
            <w:tcBorders>
              <w:top w:val="nil"/>
              <w:left w:val="nil"/>
              <w:bottom w:val="single" w:sz="4" w:space="0" w:color="auto"/>
              <w:right w:val="single" w:sz="4" w:space="0" w:color="auto"/>
            </w:tcBorders>
            <w:shd w:val="clear" w:color="auto" w:fill="auto"/>
            <w:noWrap/>
            <w:vAlign w:val="bottom"/>
            <w:hideMark/>
          </w:tcPr>
          <w:p w:rsidR="00C8167D" w:rsidRPr="00C8167D" w:rsidRDefault="00C8167D" w:rsidP="00C8167D">
            <w:pPr>
              <w:tabs>
                <w:tab w:val="clear" w:pos="284"/>
              </w:tabs>
              <w:spacing w:line="240" w:lineRule="auto"/>
              <w:jc w:val="right"/>
              <w:rPr>
                <w:rFonts w:ascii="Arial" w:eastAsia="Times New Roman" w:hAnsi="Arial" w:cs="Arial"/>
                <w:color w:val="000000"/>
                <w:kern w:val="0"/>
                <w:lang w:eastAsia="en-GB"/>
              </w:rPr>
            </w:pPr>
            <w:r w:rsidRPr="00C8167D">
              <w:rPr>
                <w:rFonts w:ascii="Arial" w:eastAsia="Times New Roman" w:hAnsi="Arial" w:cs="Arial"/>
                <w:color w:val="000000"/>
                <w:kern w:val="0"/>
                <w:lang w:eastAsia="en-GB"/>
              </w:rPr>
              <w:t>80.9%</w:t>
            </w:r>
          </w:p>
        </w:tc>
        <w:tc>
          <w:tcPr>
            <w:tcW w:w="1417" w:type="dxa"/>
            <w:tcBorders>
              <w:top w:val="nil"/>
              <w:left w:val="nil"/>
              <w:bottom w:val="single" w:sz="4" w:space="0" w:color="auto"/>
              <w:right w:val="single" w:sz="4" w:space="0" w:color="auto"/>
            </w:tcBorders>
            <w:shd w:val="clear" w:color="auto" w:fill="auto"/>
            <w:noWrap/>
            <w:vAlign w:val="bottom"/>
            <w:hideMark/>
          </w:tcPr>
          <w:p w:rsidR="00C8167D" w:rsidRPr="00C8167D" w:rsidRDefault="00C8167D" w:rsidP="00C8167D">
            <w:pPr>
              <w:tabs>
                <w:tab w:val="clear" w:pos="284"/>
              </w:tabs>
              <w:spacing w:line="240" w:lineRule="auto"/>
              <w:jc w:val="right"/>
              <w:rPr>
                <w:rFonts w:ascii="Arial" w:eastAsia="Times New Roman" w:hAnsi="Arial" w:cs="Arial"/>
                <w:color w:val="000000"/>
                <w:kern w:val="0"/>
                <w:lang w:eastAsia="en-GB"/>
              </w:rPr>
            </w:pPr>
            <w:r w:rsidRPr="00C8167D">
              <w:rPr>
                <w:rFonts w:ascii="Arial" w:eastAsia="Times New Roman" w:hAnsi="Arial" w:cs="Arial"/>
                <w:color w:val="000000"/>
                <w:kern w:val="0"/>
                <w:lang w:eastAsia="en-GB"/>
              </w:rPr>
              <w:t>67.2%</w:t>
            </w:r>
          </w:p>
        </w:tc>
        <w:tc>
          <w:tcPr>
            <w:tcW w:w="1276" w:type="dxa"/>
            <w:tcBorders>
              <w:top w:val="nil"/>
              <w:left w:val="nil"/>
              <w:bottom w:val="single" w:sz="4" w:space="0" w:color="auto"/>
              <w:right w:val="single" w:sz="8" w:space="0" w:color="auto"/>
            </w:tcBorders>
            <w:shd w:val="clear" w:color="auto" w:fill="auto"/>
            <w:noWrap/>
            <w:vAlign w:val="bottom"/>
            <w:hideMark/>
          </w:tcPr>
          <w:p w:rsidR="00C8167D" w:rsidRPr="00C8167D" w:rsidRDefault="00C8167D" w:rsidP="00C8167D">
            <w:pPr>
              <w:tabs>
                <w:tab w:val="clear" w:pos="284"/>
              </w:tabs>
              <w:spacing w:line="240" w:lineRule="auto"/>
              <w:jc w:val="right"/>
              <w:rPr>
                <w:rFonts w:ascii="Arial" w:eastAsia="Times New Roman" w:hAnsi="Arial" w:cs="Arial"/>
                <w:color w:val="000000"/>
                <w:kern w:val="0"/>
                <w:lang w:eastAsia="en-GB"/>
              </w:rPr>
            </w:pPr>
            <w:r w:rsidRPr="00C8167D">
              <w:rPr>
                <w:rFonts w:ascii="Arial" w:eastAsia="Times New Roman" w:hAnsi="Arial" w:cs="Arial"/>
                <w:color w:val="000000"/>
                <w:kern w:val="0"/>
                <w:lang w:eastAsia="en-GB"/>
              </w:rPr>
              <w:t>63.3%</w:t>
            </w:r>
          </w:p>
        </w:tc>
      </w:tr>
      <w:tr w:rsidR="00C8167D" w:rsidRPr="00C8167D" w:rsidTr="00C8167D">
        <w:trPr>
          <w:trHeight w:val="228"/>
        </w:trPr>
        <w:tc>
          <w:tcPr>
            <w:tcW w:w="1995" w:type="dxa"/>
            <w:tcBorders>
              <w:top w:val="nil"/>
              <w:left w:val="single" w:sz="8" w:space="0" w:color="auto"/>
              <w:bottom w:val="single" w:sz="4" w:space="0" w:color="auto"/>
              <w:right w:val="single" w:sz="4" w:space="0" w:color="auto"/>
            </w:tcBorders>
            <w:shd w:val="clear" w:color="auto" w:fill="auto"/>
            <w:noWrap/>
            <w:vAlign w:val="bottom"/>
            <w:hideMark/>
          </w:tcPr>
          <w:p w:rsidR="00C8167D" w:rsidRPr="00C8167D" w:rsidRDefault="00C8167D" w:rsidP="00C8167D">
            <w:pPr>
              <w:tabs>
                <w:tab w:val="clear" w:pos="284"/>
              </w:tabs>
              <w:spacing w:line="240" w:lineRule="auto"/>
              <w:rPr>
                <w:rFonts w:ascii="Arial" w:eastAsia="Times New Roman" w:hAnsi="Arial" w:cs="Arial"/>
                <w:color w:val="000000"/>
                <w:kern w:val="0"/>
                <w:lang w:eastAsia="en-GB"/>
              </w:rPr>
            </w:pPr>
            <w:r w:rsidRPr="00C8167D">
              <w:rPr>
                <w:rFonts w:ascii="Arial" w:eastAsia="Times New Roman" w:hAnsi="Arial" w:cs="Arial"/>
                <w:color w:val="000000"/>
                <w:kern w:val="0"/>
                <w:lang w:eastAsia="en-GB"/>
              </w:rPr>
              <w:t xml:space="preserve">Shared ownership </w:t>
            </w:r>
          </w:p>
        </w:tc>
        <w:tc>
          <w:tcPr>
            <w:tcW w:w="1701" w:type="dxa"/>
            <w:tcBorders>
              <w:top w:val="nil"/>
              <w:left w:val="nil"/>
              <w:bottom w:val="single" w:sz="4" w:space="0" w:color="auto"/>
              <w:right w:val="single" w:sz="4" w:space="0" w:color="auto"/>
            </w:tcBorders>
            <w:shd w:val="clear" w:color="auto" w:fill="auto"/>
            <w:noWrap/>
            <w:vAlign w:val="bottom"/>
            <w:hideMark/>
          </w:tcPr>
          <w:p w:rsidR="00C8167D" w:rsidRPr="00C8167D" w:rsidRDefault="00C8167D" w:rsidP="00C8167D">
            <w:pPr>
              <w:tabs>
                <w:tab w:val="clear" w:pos="284"/>
              </w:tabs>
              <w:spacing w:line="240" w:lineRule="auto"/>
              <w:jc w:val="right"/>
              <w:rPr>
                <w:rFonts w:ascii="Arial" w:eastAsia="Times New Roman" w:hAnsi="Arial" w:cs="Arial"/>
                <w:color w:val="000000"/>
                <w:kern w:val="0"/>
                <w:lang w:eastAsia="en-GB"/>
              </w:rPr>
            </w:pPr>
            <w:r w:rsidRPr="00C8167D">
              <w:rPr>
                <w:rFonts w:ascii="Arial" w:eastAsia="Times New Roman" w:hAnsi="Arial" w:cs="Arial"/>
                <w:color w:val="000000"/>
                <w:kern w:val="0"/>
                <w:lang w:eastAsia="en-GB"/>
              </w:rPr>
              <w:t>0.3%</w:t>
            </w:r>
          </w:p>
        </w:tc>
        <w:tc>
          <w:tcPr>
            <w:tcW w:w="1417" w:type="dxa"/>
            <w:tcBorders>
              <w:top w:val="nil"/>
              <w:left w:val="nil"/>
              <w:bottom w:val="single" w:sz="4" w:space="0" w:color="auto"/>
              <w:right w:val="single" w:sz="4" w:space="0" w:color="auto"/>
            </w:tcBorders>
            <w:shd w:val="clear" w:color="auto" w:fill="auto"/>
            <w:noWrap/>
            <w:vAlign w:val="bottom"/>
            <w:hideMark/>
          </w:tcPr>
          <w:p w:rsidR="00C8167D" w:rsidRPr="00C8167D" w:rsidRDefault="00C8167D" w:rsidP="00C8167D">
            <w:pPr>
              <w:tabs>
                <w:tab w:val="clear" w:pos="284"/>
              </w:tabs>
              <w:spacing w:line="240" w:lineRule="auto"/>
              <w:jc w:val="right"/>
              <w:rPr>
                <w:rFonts w:ascii="Arial" w:eastAsia="Times New Roman" w:hAnsi="Arial" w:cs="Arial"/>
                <w:color w:val="000000"/>
                <w:kern w:val="0"/>
                <w:lang w:eastAsia="en-GB"/>
              </w:rPr>
            </w:pPr>
            <w:r w:rsidRPr="00C8167D">
              <w:rPr>
                <w:rFonts w:ascii="Arial" w:eastAsia="Times New Roman" w:hAnsi="Arial" w:cs="Arial"/>
                <w:color w:val="000000"/>
                <w:kern w:val="0"/>
                <w:lang w:eastAsia="en-GB"/>
              </w:rPr>
              <w:t>0.9%</w:t>
            </w:r>
          </w:p>
        </w:tc>
        <w:tc>
          <w:tcPr>
            <w:tcW w:w="1276" w:type="dxa"/>
            <w:tcBorders>
              <w:top w:val="nil"/>
              <w:left w:val="nil"/>
              <w:bottom w:val="single" w:sz="4" w:space="0" w:color="auto"/>
              <w:right w:val="single" w:sz="8" w:space="0" w:color="auto"/>
            </w:tcBorders>
            <w:shd w:val="clear" w:color="auto" w:fill="auto"/>
            <w:noWrap/>
            <w:vAlign w:val="bottom"/>
            <w:hideMark/>
          </w:tcPr>
          <w:p w:rsidR="00C8167D" w:rsidRPr="00C8167D" w:rsidRDefault="00C8167D" w:rsidP="00C8167D">
            <w:pPr>
              <w:tabs>
                <w:tab w:val="clear" w:pos="284"/>
              </w:tabs>
              <w:spacing w:line="240" w:lineRule="auto"/>
              <w:jc w:val="right"/>
              <w:rPr>
                <w:rFonts w:ascii="Arial" w:eastAsia="Times New Roman" w:hAnsi="Arial" w:cs="Arial"/>
                <w:color w:val="000000"/>
                <w:kern w:val="0"/>
                <w:lang w:eastAsia="en-GB"/>
              </w:rPr>
            </w:pPr>
            <w:r w:rsidRPr="00C8167D">
              <w:rPr>
                <w:rFonts w:ascii="Arial" w:eastAsia="Times New Roman" w:hAnsi="Arial" w:cs="Arial"/>
                <w:color w:val="000000"/>
                <w:kern w:val="0"/>
                <w:lang w:eastAsia="en-GB"/>
              </w:rPr>
              <w:t>0.8%</w:t>
            </w:r>
          </w:p>
        </w:tc>
      </w:tr>
      <w:tr w:rsidR="00C8167D" w:rsidRPr="00C8167D" w:rsidTr="00C8167D">
        <w:trPr>
          <w:trHeight w:val="228"/>
        </w:trPr>
        <w:tc>
          <w:tcPr>
            <w:tcW w:w="1995" w:type="dxa"/>
            <w:tcBorders>
              <w:top w:val="nil"/>
              <w:left w:val="single" w:sz="8" w:space="0" w:color="auto"/>
              <w:bottom w:val="single" w:sz="4" w:space="0" w:color="auto"/>
              <w:right w:val="single" w:sz="4" w:space="0" w:color="auto"/>
            </w:tcBorders>
            <w:shd w:val="clear" w:color="auto" w:fill="auto"/>
            <w:noWrap/>
            <w:vAlign w:val="bottom"/>
            <w:hideMark/>
          </w:tcPr>
          <w:p w:rsidR="00C8167D" w:rsidRPr="00C8167D" w:rsidRDefault="00C8167D" w:rsidP="00C8167D">
            <w:pPr>
              <w:tabs>
                <w:tab w:val="clear" w:pos="284"/>
              </w:tabs>
              <w:spacing w:line="240" w:lineRule="auto"/>
              <w:rPr>
                <w:rFonts w:ascii="Arial" w:eastAsia="Times New Roman" w:hAnsi="Arial" w:cs="Arial"/>
                <w:color w:val="000000"/>
                <w:kern w:val="0"/>
                <w:lang w:eastAsia="en-GB"/>
              </w:rPr>
            </w:pPr>
            <w:r w:rsidRPr="00C8167D">
              <w:rPr>
                <w:rFonts w:ascii="Arial" w:eastAsia="Times New Roman" w:hAnsi="Arial" w:cs="Arial"/>
                <w:color w:val="000000"/>
                <w:kern w:val="0"/>
                <w:lang w:eastAsia="en-GB"/>
              </w:rPr>
              <w:t>Social rented; total</w:t>
            </w:r>
          </w:p>
        </w:tc>
        <w:tc>
          <w:tcPr>
            <w:tcW w:w="1701" w:type="dxa"/>
            <w:tcBorders>
              <w:top w:val="nil"/>
              <w:left w:val="nil"/>
              <w:bottom w:val="single" w:sz="4" w:space="0" w:color="auto"/>
              <w:right w:val="single" w:sz="4" w:space="0" w:color="auto"/>
            </w:tcBorders>
            <w:shd w:val="clear" w:color="auto" w:fill="auto"/>
            <w:noWrap/>
            <w:vAlign w:val="bottom"/>
            <w:hideMark/>
          </w:tcPr>
          <w:p w:rsidR="00C8167D" w:rsidRPr="00C8167D" w:rsidRDefault="00C8167D" w:rsidP="00C8167D">
            <w:pPr>
              <w:tabs>
                <w:tab w:val="clear" w:pos="284"/>
              </w:tabs>
              <w:spacing w:line="240" w:lineRule="auto"/>
              <w:jc w:val="right"/>
              <w:rPr>
                <w:rFonts w:ascii="Arial" w:eastAsia="Times New Roman" w:hAnsi="Arial" w:cs="Arial"/>
                <w:color w:val="000000"/>
                <w:kern w:val="0"/>
                <w:lang w:eastAsia="en-GB"/>
              </w:rPr>
            </w:pPr>
            <w:r w:rsidRPr="00C8167D">
              <w:rPr>
                <w:rFonts w:ascii="Arial" w:eastAsia="Times New Roman" w:hAnsi="Arial" w:cs="Arial"/>
                <w:color w:val="000000"/>
                <w:kern w:val="0"/>
                <w:lang w:eastAsia="en-GB"/>
              </w:rPr>
              <w:t>5.3%</w:t>
            </w:r>
          </w:p>
        </w:tc>
        <w:tc>
          <w:tcPr>
            <w:tcW w:w="1417" w:type="dxa"/>
            <w:tcBorders>
              <w:top w:val="nil"/>
              <w:left w:val="nil"/>
              <w:bottom w:val="single" w:sz="4" w:space="0" w:color="auto"/>
              <w:right w:val="single" w:sz="4" w:space="0" w:color="auto"/>
            </w:tcBorders>
            <w:shd w:val="clear" w:color="auto" w:fill="auto"/>
            <w:noWrap/>
            <w:vAlign w:val="bottom"/>
            <w:hideMark/>
          </w:tcPr>
          <w:p w:rsidR="00C8167D" w:rsidRPr="00C8167D" w:rsidRDefault="00C8167D" w:rsidP="00C8167D">
            <w:pPr>
              <w:tabs>
                <w:tab w:val="clear" w:pos="284"/>
              </w:tabs>
              <w:spacing w:line="240" w:lineRule="auto"/>
              <w:jc w:val="right"/>
              <w:rPr>
                <w:rFonts w:ascii="Arial" w:eastAsia="Times New Roman" w:hAnsi="Arial" w:cs="Arial"/>
                <w:color w:val="000000"/>
                <w:kern w:val="0"/>
                <w:lang w:eastAsia="en-GB"/>
              </w:rPr>
            </w:pPr>
            <w:r w:rsidRPr="00C8167D">
              <w:rPr>
                <w:rFonts w:ascii="Arial" w:eastAsia="Times New Roman" w:hAnsi="Arial" w:cs="Arial"/>
                <w:color w:val="000000"/>
                <w:kern w:val="0"/>
                <w:lang w:eastAsia="en-GB"/>
              </w:rPr>
              <w:t>14.9%</w:t>
            </w:r>
          </w:p>
        </w:tc>
        <w:tc>
          <w:tcPr>
            <w:tcW w:w="1276" w:type="dxa"/>
            <w:tcBorders>
              <w:top w:val="nil"/>
              <w:left w:val="nil"/>
              <w:bottom w:val="single" w:sz="4" w:space="0" w:color="auto"/>
              <w:right w:val="single" w:sz="8" w:space="0" w:color="auto"/>
            </w:tcBorders>
            <w:shd w:val="clear" w:color="auto" w:fill="auto"/>
            <w:noWrap/>
            <w:vAlign w:val="bottom"/>
            <w:hideMark/>
          </w:tcPr>
          <w:p w:rsidR="00C8167D" w:rsidRPr="00C8167D" w:rsidRDefault="00C8167D" w:rsidP="00C8167D">
            <w:pPr>
              <w:tabs>
                <w:tab w:val="clear" w:pos="284"/>
              </w:tabs>
              <w:spacing w:line="240" w:lineRule="auto"/>
              <w:jc w:val="right"/>
              <w:rPr>
                <w:rFonts w:ascii="Arial" w:eastAsia="Times New Roman" w:hAnsi="Arial" w:cs="Arial"/>
                <w:color w:val="000000"/>
                <w:kern w:val="0"/>
                <w:lang w:eastAsia="en-GB"/>
              </w:rPr>
            </w:pPr>
            <w:r w:rsidRPr="00C8167D">
              <w:rPr>
                <w:rFonts w:ascii="Arial" w:eastAsia="Times New Roman" w:hAnsi="Arial" w:cs="Arial"/>
                <w:color w:val="000000"/>
                <w:kern w:val="0"/>
                <w:lang w:eastAsia="en-GB"/>
              </w:rPr>
              <w:t>17.7%</w:t>
            </w:r>
          </w:p>
        </w:tc>
      </w:tr>
      <w:tr w:rsidR="00C8167D" w:rsidRPr="00C8167D" w:rsidTr="00C8167D">
        <w:trPr>
          <w:trHeight w:val="240"/>
        </w:trPr>
        <w:tc>
          <w:tcPr>
            <w:tcW w:w="1995" w:type="dxa"/>
            <w:tcBorders>
              <w:top w:val="nil"/>
              <w:left w:val="single" w:sz="8" w:space="0" w:color="auto"/>
              <w:bottom w:val="single" w:sz="8" w:space="0" w:color="auto"/>
              <w:right w:val="single" w:sz="4" w:space="0" w:color="auto"/>
            </w:tcBorders>
            <w:shd w:val="clear" w:color="auto" w:fill="auto"/>
            <w:noWrap/>
            <w:vAlign w:val="bottom"/>
            <w:hideMark/>
          </w:tcPr>
          <w:p w:rsidR="00C8167D" w:rsidRPr="00C8167D" w:rsidRDefault="00C8167D" w:rsidP="00C8167D">
            <w:pPr>
              <w:tabs>
                <w:tab w:val="clear" w:pos="284"/>
              </w:tabs>
              <w:spacing w:line="240" w:lineRule="auto"/>
              <w:rPr>
                <w:rFonts w:ascii="Arial" w:eastAsia="Times New Roman" w:hAnsi="Arial" w:cs="Arial"/>
                <w:color w:val="000000"/>
                <w:kern w:val="0"/>
                <w:lang w:eastAsia="en-GB"/>
              </w:rPr>
            </w:pPr>
            <w:r w:rsidRPr="00C8167D">
              <w:rPr>
                <w:rFonts w:ascii="Arial" w:eastAsia="Times New Roman" w:hAnsi="Arial" w:cs="Arial"/>
                <w:color w:val="000000"/>
                <w:kern w:val="0"/>
                <w:lang w:eastAsia="en-GB"/>
              </w:rPr>
              <w:t>Private rented; total</w:t>
            </w:r>
          </w:p>
        </w:tc>
        <w:tc>
          <w:tcPr>
            <w:tcW w:w="1701" w:type="dxa"/>
            <w:tcBorders>
              <w:top w:val="nil"/>
              <w:left w:val="nil"/>
              <w:bottom w:val="single" w:sz="8" w:space="0" w:color="auto"/>
              <w:right w:val="single" w:sz="4" w:space="0" w:color="auto"/>
            </w:tcBorders>
            <w:shd w:val="clear" w:color="auto" w:fill="auto"/>
            <w:noWrap/>
            <w:vAlign w:val="bottom"/>
            <w:hideMark/>
          </w:tcPr>
          <w:p w:rsidR="00C8167D" w:rsidRPr="00C8167D" w:rsidRDefault="00C8167D" w:rsidP="00C8167D">
            <w:pPr>
              <w:tabs>
                <w:tab w:val="clear" w:pos="284"/>
              </w:tabs>
              <w:spacing w:line="240" w:lineRule="auto"/>
              <w:jc w:val="right"/>
              <w:rPr>
                <w:rFonts w:ascii="Arial" w:eastAsia="Times New Roman" w:hAnsi="Arial" w:cs="Arial"/>
                <w:color w:val="000000"/>
                <w:kern w:val="0"/>
                <w:lang w:eastAsia="en-GB"/>
              </w:rPr>
            </w:pPr>
            <w:r w:rsidRPr="00C8167D">
              <w:rPr>
                <w:rFonts w:ascii="Arial" w:eastAsia="Times New Roman" w:hAnsi="Arial" w:cs="Arial"/>
                <w:color w:val="000000"/>
                <w:kern w:val="0"/>
                <w:lang w:eastAsia="en-GB"/>
              </w:rPr>
              <w:t>11.2%</w:t>
            </w:r>
          </w:p>
        </w:tc>
        <w:tc>
          <w:tcPr>
            <w:tcW w:w="1417" w:type="dxa"/>
            <w:tcBorders>
              <w:top w:val="nil"/>
              <w:left w:val="nil"/>
              <w:bottom w:val="single" w:sz="8" w:space="0" w:color="auto"/>
              <w:right w:val="single" w:sz="4" w:space="0" w:color="auto"/>
            </w:tcBorders>
            <w:shd w:val="clear" w:color="auto" w:fill="auto"/>
            <w:noWrap/>
            <w:vAlign w:val="bottom"/>
            <w:hideMark/>
          </w:tcPr>
          <w:p w:rsidR="00C8167D" w:rsidRPr="00C8167D" w:rsidRDefault="00C8167D" w:rsidP="00C8167D">
            <w:pPr>
              <w:tabs>
                <w:tab w:val="clear" w:pos="284"/>
              </w:tabs>
              <w:spacing w:line="240" w:lineRule="auto"/>
              <w:jc w:val="right"/>
              <w:rPr>
                <w:rFonts w:ascii="Arial" w:eastAsia="Times New Roman" w:hAnsi="Arial" w:cs="Arial"/>
                <w:color w:val="000000"/>
                <w:kern w:val="0"/>
                <w:lang w:eastAsia="en-GB"/>
              </w:rPr>
            </w:pPr>
            <w:r w:rsidRPr="00C8167D">
              <w:rPr>
                <w:rFonts w:ascii="Arial" w:eastAsia="Times New Roman" w:hAnsi="Arial" w:cs="Arial"/>
                <w:color w:val="000000"/>
                <w:kern w:val="0"/>
                <w:lang w:eastAsia="en-GB"/>
              </w:rPr>
              <w:t>14.9%</w:t>
            </w:r>
          </w:p>
        </w:tc>
        <w:tc>
          <w:tcPr>
            <w:tcW w:w="1276" w:type="dxa"/>
            <w:tcBorders>
              <w:top w:val="nil"/>
              <w:left w:val="nil"/>
              <w:bottom w:val="single" w:sz="8" w:space="0" w:color="auto"/>
              <w:right w:val="single" w:sz="8" w:space="0" w:color="auto"/>
            </w:tcBorders>
            <w:shd w:val="clear" w:color="auto" w:fill="auto"/>
            <w:noWrap/>
            <w:vAlign w:val="bottom"/>
            <w:hideMark/>
          </w:tcPr>
          <w:p w:rsidR="00C8167D" w:rsidRPr="00C8167D" w:rsidRDefault="00C8167D" w:rsidP="00C8167D">
            <w:pPr>
              <w:tabs>
                <w:tab w:val="clear" w:pos="284"/>
              </w:tabs>
              <w:spacing w:line="240" w:lineRule="auto"/>
              <w:jc w:val="right"/>
              <w:rPr>
                <w:rFonts w:ascii="Arial" w:eastAsia="Times New Roman" w:hAnsi="Arial" w:cs="Arial"/>
                <w:color w:val="000000"/>
                <w:kern w:val="0"/>
                <w:lang w:eastAsia="en-GB"/>
              </w:rPr>
            </w:pPr>
            <w:r w:rsidRPr="00C8167D">
              <w:rPr>
                <w:rFonts w:ascii="Arial" w:eastAsia="Times New Roman" w:hAnsi="Arial" w:cs="Arial"/>
                <w:color w:val="000000"/>
                <w:kern w:val="0"/>
                <w:lang w:eastAsia="en-GB"/>
              </w:rPr>
              <w:t>16.8%</w:t>
            </w:r>
          </w:p>
        </w:tc>
      </w:tr>
    </w:tbl>
    <w:p w:rsidR="00C8167D" w:rsidRPr="005D1D67" w:rsidRDefault="00C8167D" w:rsidP="00C26717">
      <w:pPr>
        <w:pStyle w:val="Source"/>
      </w:pPr>
      <w:r w:rsidRPr="00C8167D">
        <w:t xml:space="preserve">Source: Census 2011, AECOM </w:t>
      </w:r>
      <w:r w:rsidR="0028437E">
        <w:t>c</w:t>
      </w:r>
      <w:r w:rsidRPr="00C8167D">
        <w:t>alculations</w:t>
      </w:r>
    </w:p>
    <w:p w:rsidR="00C8167D" w:rsidRPr="005D1D67" w:rsidRDefault="00C26717" w:rsidP="00C26717">
      <w:pPr>
        <w:pStyle w:val="ListNumber"/>
      </w:pPr>
      <w:r>
        <w:t>The</w:t>
      </w:r>
      <w:r w:rsidR="00C8167D" w:rsidRPr="005D1D67">
        <w:t xml:space="preserve"> below </w:t>
      </w:r>
      <w:r w:rsidR="005D1D67" w:rsidRPr="005D1D67">
        <w:t>shows how tenure has shifted during the inter-censual period</w:t>
      </w:r>
      <w:r w:rsidR="005D1D67">
        <w:t xml:space="preserve">. The level of owner-occupation has remained broadly constant while there has been, in line with the </w:t>
      </w:r>
      <w:r w:rsidR="005F5CF8">
        <w:t>District</w:t>
      </w:r>
      <w:r w:rsidR="005D1D67">
        <w:t xml:space="preserve"> and the country as a whole, a substantial increase in privately rented dwellings. In terms of additional dwellings, the number of homes within the PRS increased from 91 to 151; those socially rented increased from 64 to 71. The increase in dwellings in shared ownership is somewhat misleading, given the low base. Dwellings falling into this tenure increased from 3 to 4 homes.  </w:t>
      </w:r>
      <w:r w:rsidR="005D1D67" w:rsidRPr="005D1D67">
        <w:t xml:space="preserve"> </w:t>
      </w:r>
    </w:p>
    <w:p w:rsidR="00C26717" w:rsidRDefault="00C26717" w:rsidP="00C26717">
      <w:pPr>
        <w:pStyle w:val="Caption"/>
      </w:pPr>
      <w:r>
        <w:t xml:space="preserve">Table </w:t>
      </w:r>
      <w:fldSimple w:instr=" SEQ Table \* ARABIC ">
        <w:r w:rsidR="00B25544">
          <w:rPr>
            <w:noProof/>
          </w:rPr>
          <w:t>4</w:t>
        </w:r>
      </w:fldSimple>
      <w:r>
        <w:t xml:space="preserve">: </w:t>
      </w:r>
      <w:r w:rsidRPr="004733AA">
        <w:t>Rates of tenure change in West Wittering, 2001-2011</w:t>
      </w:r>
    </w:p>
    <w:tbl>
      <w:tblPr>
        <w:tblW w:w="6389" w:type="dxa"/>
        <w:tblInd w:w="98" w:type="dxa"/>
        <w:tblLook w:val="04A0" w:firstRow="1" w:lastRow="0" w:firstColumn="1" w:lastColumn="0" w:noHBand="0" w:noVBand="1"/>
      </w:tblPr>
      <w:tblGrid>
        <w:gridCol w:w="1995"/>
        <w:gridCol w:w="1701"/>
        <w:gridCol w:w="1417"/>
        <w:gridCol w:w="1276"/>
      </w:tblGrid>
      <w:tr w:rsidR="00C8167D" w:rsidRPr="00C8167D" w:rsidTr="00C8167D">
        <w:trPr>
          <w:trHeight w:val="240"/>
        </w:trPr>
        <w:tc>
          <w:tcPr>
            <w:tcW w:w="1995"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C8167D" w:rsidRPr="00C8167D" w:rsidRDefault="00C8167D" w:rsidP="00C8167D">
            <w:pPr>
              <w:tabs>
                <w:tab w:val="clear" w:pos="284"/>
              </w:tabs>
              <w:spacing w:line="240" w:lineRule="auto"/>
              <w:rPr>
                <w:rFonts w:ascii="Arial" w:eastAsia="Times New Roman" w:hAnsi="Arial" w:cs="Arial"/>
                <w:b/>
                <w:bCs/>
                <w:color w:val="000000"/>
                <w:kern w:val="0"/>
                <w:lang w:eastAsia="en-GB"/>
              </w:rPr>
            </w:pPr>
            <w:r w:rsidRPr="00C8167D">
              <w:rPr>
                <w:rFonts w:ascii="Arial" w:eastAsia="Times New Roman" w:hAnsi="Arial" w:cs="Arial"/>
                <w:b/>
                <w:bCs/>
                <w:color w:val="000000"/>
                <w:kern w:val="0"/>
                <w:lang w:eastAsia="en-GB"/>
              </w:rPr>
              <w:t>Tenure</w:t>
            </w:r>
          </w:p>
        </w:tc>
        <w:tc>
          <w:tcPr>
            <w:tcW w:w="1701" w:type="dxa"/>
            <w:tcBorders>
              <w:top w:val="single" w:sz="8" w:space="0" w:color="auto"/>
              <w:left w:val="nil"/>
              <w:bottom w:val="single" w:sz="4" w:space="0" w:color="auto"/>
              <w:right w:val="single" w:sz="4" w:space="0" w:color="auto"/>
            </w:tcBorders>
            <w:shd w:val="clear" w:color="auto" w:fill="auto"/>
            <w:noWrap/>
            <w:vAlign w:val="bottom"/>
            <w:hideMark/>
          </w:tcPr>
          <w:p w:rsidR="00C8167D" w:rsidRPr="00C8167D" w:rsidRDefault="00C8167D" w:rsidP="00C8167D">
            <w:pPr>
              <w:tabs>
                <w:tab w:val="clear" w:pos="284"/>
              </w:tabs>
              <w:spacing w:line="240" w:lineRule="auto"/>
              <w:rPr>
                <w:rFonts w:ascii="Arial" w:eastAsia="Times New Roman" w:hAnsi="Arial" w:cs="Arial"/>
                <w:b/>
                <w:bCs/>
                <w:color w:val="000000"/>
                <w:kern w:val="0"/>
                <w:lang w:eastAsia="en-GB"/>
              </w:rPr>
            </w:pPr>
            <w:r w:rsidRPr="00C8167D">
              <w:rPr>
                <w:rFonts w:ascii="Arial" w:eastAsia="Times New Roman" w:hAnsi="Arial" w:cs="Arial"/>
                <w:b/>
                <w:bCs/>
                <w:color w:val="000000"/>
                <w:kern w:val="0"/>
                <w:lang w:eastAsia="en-GB"/>
              </w:rPr>
              <w:t>West Wittering</w:t>
            </w:r>
          </w:p>
        </w:tc>
        <w:tc>
          <w:tcPr>
            <w:tcW w:w="1417" w:type="dxa"/>
            <w:tcBorders>
              <w:top w:val="single" w:sz="8" w:space="0" w:color="auto"/>
              <w:left w:val="nil"/>
              <w:bottom w:val="single" w:sz="4" w:space="0" w:color="auto"/>
              <w:right w:val="single" w:sz="4" w:space="0" w:color="auto"/>
            </w:tcBorders>
            <w:shd w:val="clear" w:color="auto" w:fill="auto"/>
            <w:noWrap/>
            <w:vAlign w:val="bottom"/>
            <w:hideMark/>
          </w:tcPr>
          <w:p w:rsidR="00C8167D" w:rsidRPr="00C8167D" w:rsidRDefault="00C8167D" w:rsidP="00C8167D">
            <w:pPr>
              <w:tabs>
                <w:tab w:val="clear" w:pos="284"/>
              </w:tabs>
              <w:spacing w:line="240" w:lineRule="auto"/>
              <w:rPr>
                <w:rFonts w:ascii="Arial" w:eastAsia="Times New Roman" w:hAnsi="Arial" w:cs="Arial"/>
                <w:b/>
                <w:bCs/>
                <w:color w:val="000000"/>
                <w:kern w:val="0"/>
                <w:lang w:eastAsia="en-GB"/>
              </w:rPr>
            </w:pPr>
            <w:r w:rsidRPr="00C8167D">
              <w:rPr>
                <w:rFonts w:ascii="Arial" w:eastAsia="Times New Roman" w:hAnsi="Arial" w:cs="Arial"/>
                <w:b/>
                <w:bCs/>
                <w:color w:val="000000"/>
                <w:kern w:val="0"/>
                <w:lang w:eastAsia="en-GB"/>
              </w:rPr>
              <w:t>Chichester</w:t>
            </w:r>
          </w:p>
        </w:tc>
        <w:tc>
          <w:tcPr>
            <w:tcW w:w="1276" w:type="dxa"/>
            <w:tcBorders>
              <w:top w:val="single" w:sz="8" w:space="0" w:color="auto"/>
              <w:left w:val="nil"/>
              <w:bottom w:val="single" w:sz="4" w:space="0" w:color="auto"/>
              <w:right w:val="single" w:sz="8" w:space="0" w:color="auto"/>
            </w:tcBorders>
            <w:shd w:val="clear" w:color="auto" w:fill="auto"/>
            <w:noWrap/>
            <w:vAlign w:val="bottom"/>
            <w:hideMark/>
          </w:tcPr>
          <w:p w:rsidR="00C8167D" w:rsidRPr="00C8167D" w:rsidRDefault="00C8167D" w:rsidP="00C8167D">
            <w:pPr>
              <w:tabs>
                <w:tab w:val="clear" w:pos="284"/>
              </w:tabs>
              <w:spacing w:line="240" w:lineRule="auto"/>
              <w:rPr>
                <w:rFonts w:ascii="Arial" w:eastAsia="Times New Roman" w:hAnsi="Arial" w:cs="Arial"/>
                <w:b/>
                <w:bCs/>
                <w:color w:val="000000"/>
                <w:kern w:val="0"/>
                <w:lang w:eastAsia="en-GB"/>
              </w:rPr>
            </w:pPr>
            <w:r w:rsidRPr="00C8167D">
              <w:rPr>
                <w:rFonts w:ascii="Arial" w:eastAsia="Times New Roman" w:hAnsi="Arial" w:cs="Arial"/>
                <w:b/>
                <w:bCs/>
                <w:color w:val="000000"/>
                <w:kern w:val="0"/>
                <w:lang w:eastAsia="en-GB"/>
              </w:rPr>
              <w:t>England</w:t>
            </w:r>
          </w:p>
        </w:tc>
      </w:tr>
      <w:tr w:rsidR="00C8167D" w:rsidRPr="00C8167D" w:rsidTr="00C8167D">
        <w:trPr>
          <w:trHeight w:val="228"/>
        </w:trPr>
        <w:tc>
          <w:tcPr>
            <w:tcW w:w="1995" w:type="dxa"/>
            <w:tcBorders>
              <w:top w:val="nil"/>
              <w:left w:val="single" w:sz="8" w:space="0" w:color="auto"/>
              <w:bottom w:val="single" w:sz="4" w:space="0" w:color="auto"/>
              <w:right w:val="single" w:sz="4" w:space="0" w:color="auto"/>
            </w:tcBorders>
            <w:shd w:val="clear" w:color="auto" w:fill="auto"/>
            <w:noWrap/>
            <w:vAlign w:val="bottom"/>
            <w:hideMark/>
          </w:tcPr>
          <w:p w:rsidR="00C8167D" w:rsidRPr="00C8167D" w:rsidRDefault="00C8167D" w:rsidP="00C8167D">
            <w:pPr>
              <w:tabs>
                <w:tab w:val="clear" w:pos="284"/>
              </w:tabs>
              <w:spacing w:line="240" w:lineRule="auto"/>
              <w:rPr>
                <w:rFonts w:ascii="Arial" w:eastAsia="Times New Roman" w:hAnsi="Arial" w:cs="Arial"/>
                <w:color w:val="000000"/>
                <w:kern w:val="0"/>
                <w:lang w:eastAsia="en-GB"/>
              </w:rPr>
            </w:pPr>
            <w:r w:rsidRPr="00C8167D">
              <w:rPr>
                <w:rFonts w:ascii="Arial" w:eastAsia="Times New Roman" w:hAnsi="Arial" w:cs="Arial"/>
                <w:color w:val="000000"/>
                <w:kern w:val="0"/>
                <w:lang w:eastAsia="en-GB"/>
              </w:rPr>
              <w:t>Owned; total</w:t>
            </w:r>
          </w:p>
        </w:tc>
        <w:tc>
          <w:tcPr>
            <w:tcW w:w="1701" w:type="dxa"/>
            <w:tcBorders>
              <w:top w:val="nil"/>
              <w:left w:val="nil"/>
              <w:bottom w:val="single" w:sz="4" w:space="0" w:color="auto"/>
              <w:right w:val="single" w:sz="4" w:space="0" w:color="auto"/>
            </w:tcBorders>
            <w:shd w:val="clear" w:color="auto" w:fill="auto"/>
            <w:noWrap/>
            <w:vAlign w:val="bottom"/>
            <w:hideMark/>
          </w:tcPr>
          <w:p w:rsidR="00C8167D" w:rsidRPr="00C8167D" w:rsidRDefault="00C8167D" w:rsidP="00C8167D">
            <w:pPr>
              <w:tabs>
                <w:tab w:val="clear" w:pos="284"/>
              </w:tabs>
              <w:spacing w:line="240" w:lineRule="auto"/>
              <w:jc w:val="right"/>
              <w:rPr>
                <w:rFonts w:ascii="Arial" w:eastAsia="Times New Roman" w:hAnsi="Arial" w:cs="Arial"/>
                <w:color w:val="000000"/>
                <w:kern w:val="0"/>
                <w:lang w:eastAsia="en-GB"/>
              </w:rPr>
            </w:pPr>
            <w:r w:rsidRPr="00C8167D">
              <w:rPr>
                <w:rFonts w:ascii="Arial" w:eastAsia="Times New Roman" w:hAnsi="Arial" w:cs="Arial"/>
                <w:color w:val="000000"/>
                <w:kern w:val="0"/>
                <w:lang w:eastAsia="en-GB"/>
              </w:rPr>
              <w:t>-2.4%</w:t>
            </w:r>
          </w:p>
        </w:tc>
        <w:tc>
          <w:tcPr>
            <w:tcW w:w="1417" w:type="dxa"/>
            <w:tcBorders>
              <w:top w:val="nil"/>
              <w:left w:val="nil"/>
              <w:bottom w:val="single" w:sz="4" w:space="0" w:color="auto"/>
              <w:right w:val="single" w:sz="4" w:space="0" w:color="auto"/>
            </w:tcBorders>
            <w:shd w:val="clear" w:color="auto" w:fill="auto"/>
            <w:noWrap/>
            <w:vAlign w:val="bottom"/>
            <w:hideMark/>
          </w:tcPr>
          <w:p w:rsidR="00C8167D" w:rsidRPr="00C8167D" w:rsidRDefault="00C8167D" w:rsidP="00C8167D">
            <w:pPr>
              <w:tabs>
                <w:tab w:val="clear" w:pos="284"/>
              </w:tabs>
              <w:spacing w:line="240" w:lineRule="auto"/>
              <w:jc w:val="right"/>
              <w:rPr>
                <w:rFonts w:ascii="Arial" w:eastAsia="Times New Roman" w:hAnsi="Arial" w:cs="Arial"/>
                <w:color w:val="000000"/>
                <w:kern w:val="0"/>
                <w:lang w:eastAsia="en-GB"/>
              </w:rPr>
            </w:pPr>
            <w:r w:rsidRPr="00C8167D">
              <w:rPr>
                <w:rFonts w:ascii="Arial" w:eastAsia="Times New Roman" w:hAnsi="Arial" w:cs="Arial"/>
                <w:color w:val="000000"/>
                <w:kern w:val="0"/>
                <w:lang w:eastAsia="en-GB"/>
              </w:rPr>
              <w:t>4.2%</w:t>
            </w:r>
          </w:p>
        </w:tc>
        <w:tc>
          <w:tcPr>
            <w:tcW w:w="1276" w:type="dxa"/>
            <w:tcBorders>
              <w:top w:val="nil"/>
              <w:left w:val="nil"/>
              <w:bottom w:val="single" w:sz="4" w:space="0" w:color="auto"/>
              <w:right w:val="single" w:sz="8" w:space="0" w:color="auto"/>
            </w:tcBorders>
            <w:shd w:val="clear" w:color="auto" w:fill="auto"/>
            <w:noWrap/>
            <w:vAlign w:val="bottom"/>
            <w:hideMark/>
          </w:tcPr>
          <w:p w:rsidR="00C8167D" w:rsidRPr="00C8167D" w:rsidRDefault="00C8167D" w:rsidP="00C8167D">
            <w:pPr>
              <w:tabs>
                <w:tab w:val="clear" w:pos="284"/>
              </w:tabs>
              <w:spacing w:line="240" w:lineRule="auto"/>
              <w:jc w:val="right"/>
              <w:rPr>
                <w:rFonts w:ascii="Arial" w:eastAsia="Times New Roman" w:hAnsi="Arial" w:cs="Arial"/>
                <w:color w:val="000000"/>
                <w:kern w:val="0"/>
                <w:lang w:eastAsia="en-GB"/>
              </w:rPr>
            </w:pPr>
            <w:r w:rsidRPr="00C8167D">
              <w:rPr>
                <w:rFonts w:ascii="Arial" w:eastAsia="Times New Roman" w:hAnsi="Arial" w:cs="Arial"/>
                <w:color w:val="000000"/>
                <w:kern w:val="0"/>
                <w:lang w:eastAsia="en-GB"/>
              </w:rPr>
              <w:t>-0.6%</w:t>
            </w:r>
          </w:p>
        </w:tc>
      </w:tr>
      <w:tr w:rsidR="00C8167D" w:rsidRPr="00C8167D" w:rsidTr="00C8167D">
        <w:trPr>
          <w:trHeight w:val="228"/>
        </w:trPr>
        <w:tc>
          <w:tcPr>
            <w:tcW w:w="1995" w:type="dxa"/>
            <w:tcBorders>
              <w:top w:val="nil"/>
              <w:left w:val="single" w:sz="8" w:space="0" w:color="auto"/>
              <w:bottom w:val="single" w:sz="4" w:space="0" w:color="auto"/>
              <w:right w:val="single" w:sz="4" w:space="0" w:color="auto"/>
            </w:tcBorders>
            <w:shd w:val="clear" w:color="auto" w:fill="auto"/>
            <w:noWrap/>
            <w:vAlign w:val="bottom"/>
            <w:hideMark/>
          </w:tcPr>
          <w:p w:rsidR="00C8167D" w:rsidRPr="00C8167D" w:rsidRDefault="00C8167D" w:rsidP="00C8167D">
            <w:pPr>
              <w:tabs>
                <w:tab w:val="clear" w:pos="284"/>
              </w:tabs>
              <w:spacing w:line="240" w:lineRule="auto"/>
              <w:rPr>
                <w:rFonts w:ascii="Arial" w:eastAsia="Times New Roman" w:hAnsi="Arial" w:cs="Arial"/>
                <w:color w:val="000000"/>
                <w:kern w:val="0"/>
                <w:lang w:eastAsia="en-GB"/>
              </w:rPr>
            </w:pPr>
            <w:r w:rsidRPr="00C8167D">
              <w:rPr>
                <w:rFonts w:ascii="Arial" w:eastAsia="Times New Roman" w:hAnsi="Arial" w:cs="Arial"/>
                <w:color w:val="000000"/>
                <w:kern w:val="0"/>
                <w:lang w:eastAsia="en-GB"/>
              </w:rPr>
              <w:t xml:space="preserve">Shared ownership </w:t>
            </w:r>
          </w:p>
        </w:tc>
        <w:tc>
          <w:tcPr>
            <w:tcW w:w="1701" w:type="dxa"/>
            <w:tcBorders>
              <w:top w:val="nil"/>
              <w:left w:val="nil"/>
              <w:bottom w:val="single" w:sz="4" w:space="0" w:color="auto"/>
              <w:right w:val="single" w:sz="4" w:space="0" w:color="auto"/>
            </w:tcBorders>
            <w:shd w:val="clear" w:color="auto" w:fill="auto"/>
            <w:noWrap/>
            <w:vAlign w:val="bottom"/>
            <w:hideMark/>
          </w:tcPr>
          <w:p w:rsidR="00C8167D" w:rsidRPr="00C8167D" w:rsidRDefault="00C8167D" w:rsidP="00C8167D">
            <w:pPr>
              <w:tabs>
                <w:tab w:val="clear" w:pos="284"/>
              </w:tabs>
              <w:spacing w:line="240" w:lineRule="auto"/>
              <w:jc w:val="right"/>
              <w:rPr>
                <w:rFonts w:ascii="Arial" w:eastAsia="Times New Roman" w:hAnsi="Arial" w:cs="Arial"/>
                <w:color w:val="000000"/>
                <w:kern w:val="0"/>
                <w:lang w:eastAsia="en-GB"/>
              </w:rPr>
            </w:pPr>
            <w:r w:rsidRPr="00C8167D">
              <w:rPr>
                <w:rFonts w:ascii="Arial" w:eastAsia="Times New Roman" w:hAnsi="Arial" w:cs="Arial"/>
                <w:color w:val="000000"/>
                <w:kern w:val="0"/>
                <w:lang w:eastAsia="en-GB"/>
              </w:rPr>
              <w:t>33.3%</w:t>
            </w:r>
          </w:p>
        </w:tc>
        <w:tc>
          <w:tcPr>
            <w:tcW w:w="1417" w:type="dxa"/>
            <w:tcBorders>
              <w:top w:val="nil"/>
              <w:left w:val="nil"/>
              <w:bottom w:val="single" w:sz="4" w:space="0" w:color="auto"/>
              <w:right w:val="single" w:sz="4" w:space="0" w:color="auto"/>
            </w:tcBorders>
            <w:shd w:val="clear" w:color="auto" w:fill="auto"/>
            <w:noWrap/>
            <w:vAlign w:val="bottom"/>
            <w:hideMark/>
          </w:tcPr>
          <w:p w:rsidR="00C8167D" w:rsidRPr="00C8167D" w:rsidRDefault="00C8167D" w:rsidP="00C8167D">
            <w:pPr>
              <w:tabs>
                <w:tab w:val="clear" w:pos="284"/>
              </w:tabs>
              <w:spacing w:line="240" w:lineRule="auto"/>
              <w:jc w:val="right"/>
              <w:rPr>
                <w:rFonts w:ascii="Arial" w:eastAsia="Times New Roman" w:hAnsi="Arial" w:cs="Arial"/>
                <w:color w:val="000000"/>
                <w:kern w:val="0"/>
                <w:lang w:eastAsia="en-GB"/>
              </w:rPr>
            </w:pPr>
            <w:r w:rsidRPr="00C8167D">
              <w:rPr>
                <w:rFonts w:ascii="Arial" w:eastAsia="Times New Roman" w:hAnsi="Arial" w:cs="Arial"/>
                <w:color w:val="000000"/>
                <w:kern w:val="0"/>
                <w:lang w:eastAsia="en-GB"/>
              </w:rPr>
              <w:t>138.2%</w:t>
            </w:r>
          </w:p>
        </w:tc>
        <w:tc>
          <w:tcPr>
            <w:tcW w:w="1276" w:type="dxa"/>
            <w:tcBorders>
              <w:top w:val="nil"/>
              <w:left w:val="nil"/>
              <w:bottom w:val="single" w:sz="4" w:space="0" w:color="auto"/>
              <w:right w:val="single" w:sz="8" w:space="0" w:color="auto"/>
            </w:tcBorders>
            <w:shd w:val="clear" w:color="auto" w:fill="auto"/>
            <w:noWrap/>
            <w:vAlign w:val="bottom"/>
            <w:hideMark/>
          </w:tcPr>
          <w:p w:rsidR="00C8167D" w:rsidRPr="00C8167D" w:rsidRDefault="00C8167D" w:rsidP="00C8167D">
            <w:pPr>
              <w:tabs>
                <w:tab w:val="clear" w:pos="284"/>
              </w:tabs>
              <w:spacing w:line="240" w:lineRule="auto"/>
              <w:jc w:val="right"/>
              <w:rPr>
                <w:rFonts w:ascii="Arial" w:eastAsia="Times New Roman" w:hAnsi="Arial" w:cs="Arial"/>
                <w:color w:val="000000"/>
                <w:kern w:val="0"/>
                <w:lang w:eastAsia="en-GB"/>
              </w:rPr>
            </w:pPr>
            <w:r w:rsidRPr="00C8167D">
              <w:rPr>
                <w:rFonts w:ascii="Arial" w:eastAsia="Times New Roman" w:hAnsi="Arial" w:cs="Arial"/>
                <w:color w:val="000000"/>
                <w:kern w:val="0"/>
                <w:lang w:eastAsia="en-GB"/>
              </w:rPr>
              <w:t>30.0%</w:t>
            </w:r>
          </w:p>
        </w:tc>
      </w:tr>
      <w:tr w:rsidR="00C8167D" w:rsidRPr="00C8167D" w:rsidTr="00C8167D">
        <w:trPr>
          <w:trHeight w:val="228"/>
        </w:trPr>
        <w:tc>
          <w:tcPr>
            <w:tcW w:w="1995" w:type="dxa"/>
            <w:tcBorders>
              <w:top w:val="nil"/>
              <w:left w:val="single" w:sz="8" w:space="0" w:color="auto"/>
              <w:bottom w:val="single" w:sz="4" w:space="0" w:color="auto"/>
              <w:right w:val="single" w:sz="4" w:space="0" w:color="auto"/>
            </w:tcBorders>
            <w:shd w:val="clear" w:color="auto" w:fill="auto"/>
            <w:noWrap/>
            <w:vAlign w:val="bottom"/>
            <w:hideMark/>
          </w:tcPr>
          <w:p w:rsidR="00C8167D" w:rsidRPr="00C8167D" w:rsidRDefault="00C8167D" w:rsidP="00C8167D">
            <w:pPr>
              <w:tabs>
                <w:tab w:val="clear" w:pos="284"/>
              </w:tabs>
              <w:spacing w:line="240" w:lineRule="auto"/>
              <w:rPr>
                <w:rFonts w:ascii="Arial" w:eastAsia="Times New Roman" w:hAnsi="Arial" w:cs="Arial"/>
                <w:color w:val="000000"/>
                <w:kern w:val="0"/>
                <w:lang w:eastAsia="en-GB"/>
              </w:rPr>
            </w:pPr>
            <w:r w:rsidRPr="00C8167D">
              <w:rPr>
                <w:rFonts w:ascii="Arial" w:eastAsia="Times New Roman" w:hAnsi="Arial" w:cs="Arial"/>
                <w:color w:val="000000"/>
                <w:kern w:val="0"/>
                <w:lang w:eastAsia="en-GB"/>
              </w:rPr>
              <w:t>Social rented; total</w:t>
            </w:r>
          </w:p>
        </w:tc>
        <w:tc>
          <w:tcPr>
            <w:tcW w:w="1701" w:type="dxa"/>
            <w:tcBorders>
              <w:top w:val="nil"/>
              <w:left w:val="nil"/>
              <w:bottom w:val="single" w:sz="4" w:space="0" w:color="auto"/>
              <w:right w:val="single" w:sz="4" w:space="0" w:color="auto"/>
            </w:tcBorders>
            <w:shd w:val="clear" w:color="auto" w:fill="auto"/>
            <w:noWrap/>
            <w:vAlign w:val="bottom"/>
            <w:hideMark/>
          </w:tcPr>
          <w:p w:rsidR="00C8167D" w:rsidRPr="00C8167D" w:rsidRDefault="00C8167D" w:rsidP="00C8167D">
            <w:pPr>
              <w:tabs>
                <w:tab w:val="clear" w:pos="284"/>
              </w:tabs>
              <w:spacing w:line="240" w:lineRule="auto"/>
              <w:jc w:val="right"/>
              <w:rPr>
                <w:rFonts w:ascii="Arial" w:eastAsia="Times New Roman" w:hAnsi="Arial" w:cs="Arial"/>
                <w:color w:val="000000"/>
                <w:kern w:val="0"/>
                <w:lang w:eastAsia="en-GB"/>
              </w:rPr>
            </w:pPr>
            <w:r w:rsidRPr="00C8167D">
              <w:rPr>
                <w:rFonts w:ascii="Arial" w:eastAsia="Times New Roman" w:hAnsi="Arial" w:cs="Arial"/>
                <w:color w:val="000000"/>
                <w:kern w:val="0"/>
                <w:lang w:eastAsia="en-GB"/>
              </w:rPr>
              <w:t>10.9%</w:t>
            </w:r>
          </w:p>
        </w:tc>
        <w:tc>
          <w:tcPr>
            <w:tcW w:w="1417" w:type="dxa"/>
            <w:tcBorders>
              <w:top w:val="nil"/>
              <w:left w:val="nil"/>
              <w:bottom w:val="single" w:sz="4" w:space="0" w:color="auto"/>
              <w:right w:val="single" w:sz="4" w:space="0" w:color="auto"/>
            </w:tcBorders>
            <w:shd w:val="clear" w:color="auto" w:fill="auto"/>
            <w:noWrap/>
            <w:vAlign w:val="bottom"/>
            <w:hideMark/>
          </w:tcPr>
          <w:p w:rsidR="00C8167D" w:rsidRPr="00C8167D" w:rsidRDefault="00C8167D" w:rsidP="00C8167D">
            <w:pPr>
              <w:tabs>
                <w:tab w:val="clear" w:pos="284"/>
              </w:tabs>
              <w:spacing w:line="240" w:lineRule="auto"/>
              <w:jc w:val="right"/>
              <w:rPr>
                <w:rFonts w:ascii="Arial" w:eastAsia="Times New Roman" w:hAnsi="Arial" w:cs="Arial"/>
                <w:color w:val="000000"/>
                <w:kern w:val="0"/>
                <w:lang w:eastAsia="en-GB"/>
              </w:rPr>
            </w:pPr>
            <w:r w:rsidRPr="00C8167D">
              <w:rPr>
                <w:rFonts w:ascii="Arial" w:eastAsia="Times New Roman" w:hAnsi="Arial" w:cs="Arial"/>
                <w:color w:val="000000"/>
                <w:kern w:val="0"/>
                <w:lang w:eastAsia="en-GB"/>
              </w:rPr>
              <w:t>10.0%</w:t>
            </w:r>
          </w:p>
        </w:tc>
        <w:tc>
          <w:tcPr>
            <w:tcW w:w="1276" w:type="dxa"/>
            <w:tcBorders>
              <w:top w:val="nil"/>
              <w:left w:val="nil"/>
              <w:bottom w:val="single" w:sz="4" w:space="0" w:color="auto"/>
              <w:right w:val="single" w:sz="8" w:space="0" w:color="auto"/>
            </w:tcBorders>
            <w:shd w:val="clear" w:color="auto" w:fill="auto"/>
            <w:noWrap/>
            <w:vAlign w:val="bottom"/>
            <w:hideMark/>
          </w:tcPr>
          <w:p w:rsidR="00C8167D" w:rsidRPr="00C8167D" w:rsidRDefault="00C8167D" w:rsidP="00C8167D">
            <w:pPr>
              <w:tabs>
                <w:tab w:val="clear" w:pos="284"/>
              </w:tabs>
              <w:spacing w:line="240" w:lineRule="auto"/>
              <w:jc w:val="right"/>
              <w:rPr>
                <w:rFonts w:ascii="Arial" w:eastAsia="Times New Roman" w:hAnsi="Arial" w:cs="Arial"/>
                <w:color w:val="000000"/>
                <w:kern w:val="0"/>
                <w:lang w:eastAsia="en-GB"/>
              </w:rPr>
            </w:pPr>
            <w:r w:rsidRPr="00C8167D">
              <w:rPr>
                <w:rFonts w:ascii="Arial" w:eastAsia="Times New Roman" w:hAnsi="Arial" w:cs="Arial"/>
                <w:color w:val="000000"/>
                <w:kern w:val="0"/>
                <w:lang w:eastAsia="en-GB"/>
              </w:rPr>
              <w:t>-0.9%</w:t>
            </w:r>
          </w:p>
        </w:tc>
      </w:tr>
      <w:tr w:rsidR="00C8167D" w:rsidRPr="00C8167D" w:rsidTr="00C8167D">
        <w:trPr>
          <w:trHeight w:val="240"/>
        </w:trPr>
        <w:tc>
          <w:tcPr>
            <w:tcW w:w="1995" w:type="dxa"/>
            <w:tcBorders>
              <w:top w:val="nil"/>
              <w:left w:val="single" w:sz="8" w:space="0" w:color="auto"/>
              <w:bottom w:val="single" w:sz="8" w:space="0" w:color="auto"/>
              <w:right w:val="single" w:sz="4" w:space="0" w:color="auto"/>
            </w:tcBorders>
            <w:shd w:val="clear" w:color="auto" w:fill="auto"/>
            <w:noWrap/>
            <w:vAlign w:val="bottom"/>
            <w:hideMark/>
          </w:tcPr>
          <w:p w:rsidR="00C8167D" w:rsidRPr="00C8167D" w:rsidRDefault="00C8167D" w:rsidP="00C8167D">
            <w:pPr>
              <w:tabs>
                <w:tab w:val="clear" w:pos="284"/>
              </w:tabs>
              <w:spacing w:line="240" w:lineRule="auto"/>
              <w:rPr>
                <w:rFonts w:ascii="Arial" w:eastAsia="Times New Roman" w:hAnsi="Arial" w:cs="Arial"/>
                <w:color w:val="000000"/>
                <w:kern w:val="0"/>
                <w:lang w:eastAsia="en-GB"/>
              </w:rPr>
            </w:pPr>
            <w:r w:rsidRPr="00C8167D">
              <w:rPr>
                <w:rFonts w:ascii="Arial" w:eastAsia="Times New Roman" w:hAnsi="Arial" w:cs="Arial"/>
                <w:color w:val="000000"/>
                <w:kern w:val="0"/>
                <w:lang w:eastAsia="en-GB"/>
              </w:rPr>
              <w:t>Private rented; total</w:t>
            </w:r>
          </w:p>
        </w:tc>
        <w:tc>
          <w:tcPr>
            <w:tcW w:w="1701" w:type="dxa"/>
            <w:tcBorders>
              <w:top w:val="nil"/>
              <w:left w:val="nil"/>
              <w:bottom w:val="single" w:sz="8" w:space="0" w:color="auto"/>
              <w:right w:val="single" w:sz="4" w:space="0" w:color="auto"/>
            </w:tcBorders>
            <w:shd w:val="clear" w:color="auto" w:fill="auto"/>
            <w:noWrap/>
            <w:vAlign w:val="bottom"/>
            <w:hideMark/>
          </w:tcPr>
          <w:p w:rsidR="00C8167D" w:rsidRPr="00C8167D" w:rsidRDefault="00C8167D" w:rsidP="00C8167D">
            <w:pPr>
              <w:tabs>
                <w:tab w:val="clear" w:pos="284"/>
              </w:tabs>
              <w:spacing w:line="240" w:lineRule="auto"/>
              <w:jc w:val="right"/>
              <w:rPr>
                <w:rFonts w:ascii="Arial" w:eastAsia="Times New Roman" w:hAnsi="Arial" w:cs="Arial"/>
                <w:color w:val="000000"/>
                <w:kern w:val="0"/>
                <w:lang w:eastAsia="en-GB"/>
              </w:rPr>
            </w:pPr>
            <w:r w:rsidRPr="00C8167D">
              <w:rPr>
                <w:rFonts w:ascii="Arial" w:eastAsia="Times New Roman" w:hAnsi="Arial" w:cs="Arial"/>
                <w:color w:val="000000"/>
                <w:kern w:val="0"/>
                <w:lang w:eastAsia="en-GB"/>
              </w:rPr>
              <w:t>65.9%</w:t>
            </w:r>
          </w:p>
        </w:tc>
        <w:tc>
          <w:tcPr>
            <w:tcW w:w="1417" w:type="dxa"/>
            <w:tcBorders>
              <w:top w:val="nil"/>
              <w:left w:val="nil"/>
              <w:bottom w:val="single" w:sz="8" w:space="0" w:color="auto"/>
              <w:right w:val="single" w:sz="4" w:space="0" w:color="auto"/>
            </w:tcBorders>
            <w:shd w:val="clear" w:color="auto" w:fill="auto"/>
            <w:noWrap/>
            <w:vAlign w:val="bottom"/>
            <w:hideMark/>
          </w:tcPr>
          <w:p w:rsidR="00C8167D" w:rsidRPr="00C8167D" w:rsidRDefault="00C8167D" w:rsidP="00C8167D">
            <w:pPr>
              <w:tabs>
                <w:tab w:val="clear" w:pos="284"/>
              </w:tabs>
              <w:spacing w:line="240" w:lineRule="auto"/>
              <w:jc w:val="right"/>
              <w:rPr>
                <w:rFonts w:ascii="Arial" w:eastAsia="Times New Roman" w:hAnsi="Arial" w:cs="Arial"/>
                <w:color w:val="000000"/>
                <w:kern w:val="0"/>
                <w:lang w:eastAsia="en-GB"/>
              </w:rPr>
            </w:pPr>
            <w:r w:rsidRPr="00C8167D">
              <w:rPr>
                <w:rFonts w:ascii="Arial" w:eastAsia="Times New Roman" w:hAnsi="Arial" w:cs="Arial"/>
                <w:color w:val="000000"/>
                <w:kern w:val="0"/>
                <w:lang w:eastAsia="en-GB"/>
              </w:rPr>
              <w:t>76.7%</w:t>
            </w:r>
          </w:p>
        </w:tc>
        <w:tc>
          <w:tcPr>
            <w:tcW w:w="1276" w:type="dxa"/>
            <w:tcBorders>
              <w:top w:val="nil"/>
              <w:left w:val="nil"/>
              <w:bottom w:val="single" w:sz="8" w:space="0" w:color="auto"/>
              <w:right w:val="single" w:sz="8" w:space="0" w:color="auto"/>
            </w:tcBorders>
            <w:shd w:val="clear" w:color="auto" w:fill="auto"/>
            <w:noWrap/>
            <w:vAlign w:val="bottom"/>
            <w:hideMark/>
          </w:tcPr>
          <w:p w:rsidR="00C8167D" w:rsidRPr="00C8167D" w:rsidRDefault="00C8167D" w:rsidP="00C8167D">
            <w:pPr>
              <w:tabs>
                <w:tab w:val="clear" w:pos="284"/>
              </w:tabs>
              <w:spacing w:line="240" w:lineRule="auto"/>
              <w:jc w:val="right"/>
              <w:rPr>
                <w:rFonts w:ascii="Arial" w:eastAsia="Times New Roman" w:hAnsi="Arial" w:cs="Arial"/>
                <w:color w:val="000000"/>
                <w:kern w:val="0"/>
                <w:lang w:eastAsia="en-GB"/>
              </w:rPr>
            </w:pPr>
            <w:r w:rsidRPr="00C8167D">
              <w:rPr>
                <w:rFonts w:ascii="Arial" w:eastAsia="Times New Roman" w:hAnsi="Arial" w:cs="Arial"/>
                <w:color w:val="000000"/>
                <w:kern w:val="0"/>
                <w:lang w:eastAsia="en-GB"/>
              </w:rPr>
              <w:t>82.4%</w:t>
            </w:r>
          </w:p>
        </w:tc>
      </w:tr>
    </w:tbl>
    <w:p w:rsidR="00C8167D" w:rsidRPr="00C8167D" w:rsidRDefault="00C8167D" w:rsidP="00C26717">
      <w:pPr>
        <w:pStyle w:val="Source"/>
      </w:pPr>
      <w:r>
        <w:t>So</w:t>
      </w:r>
      <w:r w:rsidRPr="00C8167D">
        <w:t xml:space="preserve">urce: Census </w:t>
      </w:r>
      <w:r>
        <w:t xml:space="preserve">2001 and </w:t>
      </w:r>
      <w:r w:rsidRPr="00C8167D">
        <w:t xml:space="preserve">2011, AECOM </w:t>
      </w:r>
      <w:r w:rsidR="0028437E">
        <w:t>c</w:t>
      </w:r>
      <w:r w:rsidRPr="00C8167D">
        <w:t>alculations</w:t>
      </w:r>
    </w:p>
    <w:p w:rsidR="00C8167D" w:rsidRPr="00B42E2A" w:rsidRDefault="00C8167D" w:rsidP="0028000E">
      <w:pPr>
        <w:pStyle w:val="ListNumber"/>
        <w:numPr>
          <w:ilvl w:val="0"/>
          <w:numId w:val="0"/>
        </w:numPr>
        <w:ind w:left="425" w:hanging="425"/>
        <w:rPr>
          <w:color w:val="000000" w:themeColor="text1"/>
          <w:u w:val="single"/>
        </w:rPr>
      </w:pPr>
    </w:p>
    <w:p w:rsidR="0028000E" w:rsidRDefault="00B42E2A" w:rsidP="00C26717">
      <w:pPr>
        <w:pStyle w:val="Heading2"/>
        <w:rPr>
          <w:lang w:val="en-US"/>
        </w:rPr>
      </w:pPr>
      <w:bookmarkStart w:id="100" w:name="_Toc504464739"/>
      <w:r w:rsidRPr="00B42E2A">
        <w:rPr>
          <w:lang w:val="en-US"/>
        </w:rPr>
        <w:lastRenderedPageBreak/>
        <w:t xml:space="preserve">Age </w:t>
      </w:r>
      <w:r w:rsidR="0028437E">
        <w:rPr>
          <w:lang w:val="en-US"/>
        </w:rPr>
        <w:t>s</w:t>
      </w:r>
      <w:r w:rsidRPr="00B42E2A">
        <w:rPr>
          <w:lang w:val="en-US"/>
        </w:rPr>
        <w:t>tructure</w:t>
      </w:r>
      <w:bookmarkEnd w:id="100"/>
      <w:r w:rsidRPr="00B42E2A">
        <w:rPr>
          <w:lang w:val="en-US"/>
        </w:rPr>
        <w:t xml:space="preserve"> </w:t>
      </w:r>
    </w:p>
    <w:p w:rsidR="00DB4B75" w:rsidRPr="00DB4B75" w:rsidRDefault="00DB4B75" w:rsidP="00C26717">
      <w:pPr>
        <w:pStyle w:val="ListNumber"/>
        <w:rPr>
          <w:lang w:val="en-US"/>
        </w:rPr>
      </w:pPr>
      <w:r w:rsidRPr="00DB4B75">
        <w:rPr>
          <w:lang w:val="en-US"/>
        </w:rPr>
        <w:t xml:space="preserve">Figure </w:t>
      </w:r>
      <w:r w:rsidR="00DC7A83">
        <w:rPr>
          <w:lang w:val="en-US"/>
        </w:rPr>
        <w:t>3</w:t>
      </w:r>
      <w:r>
        <w:rPr>
          <w:lang w:val="en-US"/>
        </w:rPr>
        <w:t xml:space="preserve"> below </w:t>
      </w:r>
      <w:proofErr w:type="gramStart"/>
      <w:r>
        <w:rPr>
          <w:lang w:val="en-US"/>
        </w:rPr>
        <w:t>presents</w:t>
      </w:r>
      <w:proofErr w:type="gramEnd"/>
      <w:r>
        <w:rPr>
          <w:lang w:val="en-US"/>
        </w:rPr>
        <w:t xml:space="preserve"> age structure data for the geographies of West </w:t>
      </w:r>
      <w:proofErr w:type="spellStart"/>
      <w:r>
        <w:rPr>
          <w:lang w:val="en-US"/>
        </w:rPr>
        <w:t>Wittering</w:t>
      </w:r>
      <w:proofErr w:type="spellEnd"/>
      <w:r>
        <w:rPr>
          <w:lang w:val="en-US"/>
        </w:rPr>
        <w:t xml:space="preserve"> together with the local authority and England. This shows some striking contrasts, in particular the massive preponderance of older people and the relative under-representation of younger people in the </w:t>
      </w:r>
      <w:r w:rsidR="005F5CF8">
        <w:rPr>
          <w:lang w:val="en-US"/>
        </w:rPr>
        <w:t>Parish</w:t>
      </w:r>
      <w:r>
        <w:rPr>
          <w:lang w:val="en-US"/>
        </w:rPr>
        <w:t xml:space="preserve"> when compared with these other geographies. Those aged over 65 make up some 42% of the population, whereas those aged between 0 and 44 constitute roughly 31% of the population. The representation of those aged 45-65 are however sim</w:t>
      </w:r>
      <w:r w:rsidR="00C30280">
        <w:rPr>
          <w:lang w:val="en-US"/>
        </w:rPr>
        <w:t>i</w:t>
      </w:r>
      <w:r>
        <w:rPr>
          <w:lang w:val="en-US"/>
        </w:rPr>
        <w:t xml:space="preserve">lar other the other geographies.  </w:t>
      </w:r>
    </w:p>
    <w:p w:rsidR="00C26717" w:rsidRDefault="00C26717" w:rsidP="00C26717">
      <w:pPr>
        <w:pStyle w:val="Caption"/>
      </w:pPr>
      <w:r>
        <w:t xml:space="preserve">Figure </w:t>
      </w:r>
      <w:fldSimple w:instr=" SEQ Figure \* ARABIC ">
        <w:r w:rsidR="00A258B5">
          <w:rPr>
            <w:noProof/>
          </w:rPr>
          <w:t>3</w:t>
        </w:r>
      </w:fldSimple>
      <w:r>
        <w:t xml:space="preserve">: </w:t>
      </w:r>
      <w:r w:rsidRPr="00996482">
        <w:t xml:space="preserve">Age </w:t>
      </w:r>
      <w:r w:rsidR="0028437E">
        <w:t>s</w:t>
      </w:r>
      <w:r w:rsidRPr="00996482">
        <w:t>tructure</w:t>
      </w:r>
    </w:p>
    <w:p w:rsidR="00B42E2A" w:rsidRPr="00B42E2A" w:rsidRDefault="00B42E2A" w:rsidP="0028000E">
      <w:pPr>
        <w:pStyle w:val="ListNumber"/>
        <w:numPr>
          <w:ilvl w:val="0"/>
          <w:numId w:val="0"/>
        </w:numPr>
        <w:ind w:left="425" w:hanging="425"/>
        <w:rPr>
          <w:bCs/>
          <w:iCs/>
          <w:color w:val="000000" w:themeColor="text1"/>
          <w:u w:val="single"/>
          <w:lang w:val="en-US"/>
        </w:rPr>
      </w:pPr>
      <w:r>
        <w:rPr>
          <w:noProof/>
          <w:lang w:eastAsia="en-GB"/>
        </w:rPr>
        <w:drawing>
          <wp:inline distT="0" distB="0" distL="0" distR="0" wp14:anchorId="4907527C" wp14:editId="38F43E22">
            <wp:extent cx="4611757" cy="2027582"/>
            <wp:effectExtent l="0" t="0" r="17780" b="1079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B42E2A" w:rsidRDefault="00DB4B75" w:rsidP="00C26717">
      <w:pPr>
        <w:pStyle w:val="Source"/>
        <w:rPr>
          <w:lang w:val="en-US"/>
        </w:rPr>
      </w:pPr>
      <w:r w:rsidRPr="00DB4B75">
        <w:rPr>
          <w:lang w:val="en-US"/>
        </w:rPr>
        <w:t xml:space="preserve">Source: Census 2011, AECOM </w:t>
      </w:r>
      <w:r w:rsidR="0028437E">
        <w:rPr>
          <w:lang w:val="en-US"/>
        </w:rPr>
        <w:t>c</w:t>
      </w:r>
      <w:r w:rsidRPr="00DB4B75">
        <w:rPr>
          <w:lang w:val="en-US"/>
        </w:rPr>
        <w:t xml:space="preserve">alculations </w:t>
      </w:r>
    </w:p>
    <w:p w:rsidR="00C30280" w:rsidRPr="00C26717" w:rsidRDefault="00C26717" w:rsidP="00C26717">
      <w:pPr>
        <w:pStyle w:val="ListNumber"/>
        <w:rPr>
          <w:lang w:eastAsia="en-GB"/>
        </w:rPr>
      </w:pPr>
      <w:r>
        <w:rPr>
          <w:lang w:eastAsia="en-GB"/>
        </w:rPr>
        <w:t xml:space="preserve">Table 5 </w:t>
      </w:r>
      <w:r w:rsidR="00C30280" w:rsidRPr="00C30280">
        <w:rPr>
          <w:lang w:eastAsia="en-GB"/>
        </w:rPr>
        <w:t xml:space="preserve">below provide a longitudinal perspective, recording how the population has shifted during the inter-censual period. </w:t>
      </w:r>
      <w:r w:rsidR="00C30280">
        <w:rPr>
          <w:lang w:eastAsia="en-GB"/>
        </w:rPr>
        <w:t xml:space="preserve">All age groups, bar those aged over 65, have seen a fall in numbers. Indeed, the overall population has fallen from 2,792 in 2001 to 2,700 in 2011. </w:t>
      </w:r>
    </w:p>
    <w:p w:rsidR="00C26717" w:rsidRDefault="00C26717" w:rsidP="00C26717">
      <w:pPr>
        <w:pStyle w:val="Caption"/>
      </w:pPr>
      <w:r>
        <w:t xml:space="preserve">Table </w:t>
      </w:r>
      <w:fldSimple w:instr=" SEQ Table \* ARABIC ">
        <w:r w:rsidR="00B25544">
          <w:rPr>
            <w:noProof/>
          </w:rPr>
          <w:t>5</w:t>
        </w:r>
      </w:fldSimple>
      <w:r>
        <w:t xml:space="preserve">: </w:t>
      </w:r>
      <w:r w:rsidRPr="00C05D32">
        <w:t>Rate of change in the age structure of the population of West Wittering, 2001-2011</w:t>
      </w:r>
    </w:p>
    <w:tbl>
      <w:tblPr>
        <w:tblW w:w="7240" w:type="dxa"/>
        <w:tblInd w:w="98" w:type="dxa"/>
        <w:tblLook w:val="04A0" w:firstRow="1" w:lastRow="0" w:firstColumn="1" w:lastColumn="0" w:noHBand="0" w:noVBand="1"/>
      </w:tblPr>
      <w:tblGrid>
        <w:gridCol w:w="1853"/>
        <w:gridCol w:w="1985"/>
        <w:gridCol w:w="1701"/>
        <w:gridCol w:w="1701"/>
      </w:tblGrid>
      <w:tr w:rsidR="00C30280" w:rsidRPr="00C30280" w:rsidTr="00C30280">
        <w:trPr>
          <w:trHeight w:val="240"/>
        </w:trPr>
        <w:tc>
          <w:tcPr>
            <w:tcW w:w="1853"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C30280" w:rsidRPr="00C30280" w:rsidRDefault="00C30280" w:rsidP="00C30280">
            <w:pPr>
              <w:tabs>
                <w:tab w:val="clear" w:pos="284"/>
              </w:tabs>
              <w:spacing w:line="240" w:lineRule="auto"/>
              <w:rPr>
                <w:rFonts w:ascii="Arial" w:eastAsia="Times New Roman" w:hAnsi="Arial" w:cs="Arial"/>
                <w:b/>
                <w:bCs/>
                <w:color w:val="000000"/>
                <w:kern w:val="0"/>
                <w:lang w:eastAsia="en-GB"/>
              </w:rPr>
            </w:pPr>
            <w:r w:rsidRPr="00C30280">
              <w:rPr>
                <w:rFonts w:ascii="Arial" w:eastAsia="Times New Roman" w:hAnsi="Arial" w:cs="Arial"/>
                <w:b/>
                <w:bCs/>
                <w:color w:val="000000"/>
                <w:kern w:val="0"/>
                <w:lang w:eastAsia="en-GB"/>
              </w:rPr>
              <w:t>Age group</w:t>
            </w:r>
          </w:p>
        </w:tc>
        <w:tc>
          <w:tcPr>
            <w:tcW w:w="1985" w:type="dxa"/>
            <w:tcBorders>
              <w:top w:val="single" w:sz="8" w:space="0" w:color="auto"/>
              <w:left w:val="nil"/>
              <w:bottom w:val="single" w:sz="4" w:space="0" w:color="auto"/>
              <w:right w:val="single" w:sz="4" w:space="0" w:color="auto"/>
            </w:tcBorders>
            <w:shd w:val="clear" w:color="auto" w:fill="auto"/>
            <w:noWrap/>
            <w:vAlign w:val="bottom"/>
            <w:hideMark/>
          </w:tcPr>
          <w:p w:rsidR="00C30280" w:rsidRPr="00C30280" w:rsidRDefault="00C30280" w:rsidP="00C30280">
            <w:pPr>
              <w:tabs>
                <w:tab w:val="clear" w:pos="284"/>
              </w:tabs>
              <w:spacing w:line="240" w:lineRule="auto"/>
              <w:rPr>
                <w:rFonts w:ascii="Arial" w:eastAsia="Times New Roman" w:hAnsi="Arial" w:cs="Arial"/>
                <w:b/>
                <w:bCs/>
                <w:color w:val="000000"/>
                <w:kern w:val="0"/>
                <w:lang w:eastAsia="en-GB"/>
              </w:rPr>
            </w:pPr>
            <w:r w:rsidRPr="00C30280">
              <w:rPr>
                <w:rFonts w:ascii="Arial" w:eastAsia="Times New Roman" w:hAnsi="Arial" w:cs="Arial"/>
                <w:b/>
                <w:bCs/>
                <w:color w:val="000000"/>
                <w:kern w:val="0"/>
                <w:lang w:eastAsia="en-GB"/>
              </w:rPr>
              <w:t>West Wittering</w:t>
            </w:r>
          </w:p>
        </w:tc>
        <w:tc>
          <w:tcPr>
            <w:tcW w:w="1701" w:type="dxa"/>
            <w:tcBorders>
              <w:top w:val="single" w:sz="8" w:space="0" w:color="auto"/>
              <w:left w:val="nil"/>
              <w:bottom w:val="single" w:sz="4" w:space="0" w:color="auto"/>
              <w:right w:val="single" w:sz="4" w:space="0" w:color="auto"/>
            </w:tcBorders>
            <w:shd w:val="clear" w:color="auto" w:fill="auto"/>
            <w:noWrap/>
            <w:vAlign w:val="bottom"/>
            <w:hideMark/>
          </w:tcPr>
          <w:p w:rsidR="00C30280" w:rsidRPr="00C30280" w:rsidRDefault="00C30280" w:rsidP="00C30280">
            <w:pPr>
              <w:tabs>
                <w:tab w:val="clear" w:pos="284"/>
              </w:tabs>
              <w:spacing w:line="240" w:lineRule="auto"/>
              <w:rPr>
                <w:rFonts w:ascii="Arial" w:eastAsia="Times New Roman" w:hAnsi="Arial" w:cs="Arial"/>
                <w:b/>
                <w:bCs/>
                <w:color w:val="000000"/>
                <w:kern w:val="0"/>
                <w:lang w:eastAsia="en-GB"/>
              </w:rPr>
            </w:pPr>
            <w:r w:rsidRPr="00C30280">
              <w:rPr>
                <w:rFonts w:ascii="Arial" w:eastAsia="Times New Roman" w:hAnsi="Arial" w:cs="Arial"/>
                <w:b/>
                <w:bCs/>
                <w:color w:val="000000"/>
                <w:kern w:val="0"/>
                <w:lang w:eastAsia="en-GB"/>
              </w:rPr>
              <w:t>Chichester</w:t>
            </w:r>
          </w:p>
        </w:tc>
        <w:tc>
          <w:tcPr>
            <w:tcW w:w="1701" w:type="dxa"/>
            <w:tcBorders>
              <w:top w:val="single" w:sz="8" w:space="0" w:color="auto"/>
              <w:left w:val="nil"/>
              <w:bottom w:val="single" w:sz="4" w:space="0" w:color="auto"/>
              <w:right w:val="single" w:sz="8" w:space="0" w:color="auto"/>
            </w:tcBorders>
            <w:shd w:val="clear" w:color="auto" w:fill="auto"/>
            <w:noWrap/>
            <w:vAlign w:val="bottom"/>
            <w:hideMark/>
          </w:tcPr>
          <w:p w:rsidR="00C30280" w:rsidRPr="00C30280" w:rsidRDefault="00C30280" w:rsidP="00C30280">
            <w:pPr>
              <w:tabs>
                <w:tab w:val="clear" w:pos="284"/>
              </w:tabs>
              <w:spacing w:line="240" w:lineRule="auto"/>
              <w:rPr>
                <w:rFonts w:ascii="Arial" w:eastAsia="Times New Roman" w:hAnsi="Arial" w:cs="Arial"/>
                <w:b/>
                <w:bCs/>
                <w:color w:val="000000"/>
                <w:kern w:val="0"/>
                <w:lang w:eastAsia="en-GB"/>
              </w:rPr>
            </w:pPr>
            <w:r w:rsidRPr="00C30280">
              <w:rPr>
                <w:rFonts w:ascii="Arial" w:eastAsia="Times New Roman" w:hAnsi="Arial" w:cs="Arial"/>
                <w:b/>
                <w:bCs/>
                <w:color w:val="000000"/>
                <w:kern w:val="0"/>
                <w:lang w:eastAsia="en-GB"/>
              </w:rPr>
              <w:t>England</w:t>
            </w:r>
          </w:p>
        </w:tc>
      </w:tr>
      <w:tr w:rsidR="00C30280" w:rsidRPr="00C30280" w:rsidTr="00C30280">
        <w:trPr>
          <w:trHeight w:val="228"/>
        </w:trPr>
        <w:tc>
          <w:tcPr>
            <w:tcW w:w="1853" w:type="dxa"/>
            <w:tcBorders>
              <w:top w:val="nil"/>
              <w:left w:val="single" w:sz="8" w:space="0" w:color="auto"/>
              <w:bottom w:val="single" w:sz="4" w:space="0" w:color="auto"/>
              <w:right w:val="single" w:sz="4" w:space="0" w:color="auto"/>
            </w:tcBorders>
            <w:shd w:val="clear" w:color="auto" w:fill="auto"/>
            <w:noWrap/>
            <w:vAlign w:val="bottom"/>
            <w:hideMark/>
          </w:tcPr>
          <w:p w:rsidR="00C30280" w:rsidRPr="00C30280" w:rsidRDefault="00C30280" w:rsidP="00C30280">
            <w:pPr>
              <w:tabs>
                <w:tab w:val="clear" w:pos="284"/>
              </w:tabs>
              <w:spacing w:line="240" w:lineRule="auto"/>
              <w:rPr>
                <w:rFonts w:ascii="Arial" w:eastAsia="Times New Roman" w:hAnsi="Arial" w:cs="Arial"/>
                <w:color w:val="000000"/>
                <w:kern w:val="0"/>
                <w:lang w:eastAsia="en-GB"/>
              </w:rPr>
            </w:pPr>
            <w:r w:rsidRPr="00C30280">
              <w:rPr>
                <w:rFonts w:ascii="Arial" w:eastAsia="Times New Roman" w:hAnsi="Arial" w:cs="Arial"/>
                <w:color w:val="000000"/>
                <w:kern w:val="0"/>
                <w:lang w:eastAsia="en-GB"/>
              </w:rPr>
              <w:t>0-15</w:t>
            </w:r>
          </w:p>
        </w:tc>
        <w:tc>
          <w:tcPr>
            <w:tcW w:w="1985" w:type="dxa"/>
            <w:tcBorders>
              <w:top w:val="nil"/>
              <w:left w:val="nil"/>
              <w:bottom w:val="single" w:sz="4" w:space="0" w:color="auto"/>
              <w:right w:val="single" w:sz="4" w:space="0" w:color="auto"/>
            </w:tcBorders>
            <w:shd w:val="clear" w:color="auto" w:fill="auto"/>
            <w:noWrap/>
            <w:vAlign w:val="bottom"/>
            <w:hideMark/>
          </w:tcPr>
          <w:p w:rsidR="00C30280" w:rsidRPr="00C30280" w:rsidRDefault="00C30280" w:rsidP="00C30280">
            <w:pPr>
              <w:tabs>
                <w:tab w:val="clear" w:pos="284"/>
              </w:tabs>
              <w:spacing w:line="240" w:lineRule="auto"/>
              <w:jc w:val="right"/>
              <w:rPr>
                <w:rFonts w:ascii="Arial" w:eastAsia="Times New Roman" w:hAnsi="Arial" w:cs="Arial"/>
                <w:color w:val="000000"/>
                <w:kern w:val="0"/>
                <w:lang w:eastAsia="en-GB"/>
              </w:rPr>
            </w:pPr>
            <w:r w:rsidRPr="00C30280">
              <w:rPr>
                <w:rFonts w:ascii="Arial" w:eastAsia="Times New Roman" w:hAnsi="Arial" w:cs="Arial"/>
                <w:color w:val="000000"/>
                <w:kern w:val="0"/>
                <w:lang w:eastAsia="en-GB"/>
              </w:rPr>
              <w:t>-5.2%</w:t>
            </w:r>
          </w:p>
        </w:tc>
        <w:tc>
          <w:tcPr>
            <w:tcW w:w="1701" w:type="dxa"/>
            <w:tcBorders>
              <w:top w:val="nil"/>
              <w:left w:val="nil"/>
              <w:bottom w:val="single" w:sz="4" w:space="0" w:color="auto"/>
              <w:right w:val="single" w:sz="4" w:space="0" w:color="auto"/>
            </w:tcBorders>
            <w:shd w:val="clear" w:color="auto" w:fill="auto"/>
            <w:noWrap/>
            <w:vAlign w:val="bottom"/>
            <w:hideMark/>
          </w:tcPr>
          <w:p w:rsidR="00C30280" w:rsidRPr="00C30280" w:rsidRDefault="00C30280" w:rsidP="00C30280">
            <w:pPr>
              <w:tabs>
                <w:tab w:val="clear" w:pos="284"/>
              </w:tabs>
              <w:spacing w:line="240" w:lineRule="auto"/>
              <w:jc w:val="right"/>
              <w:rPr>
                <w:rFonts w:ascii="Arial" w:eastAsia="Times New Roman" w:hAnsi="Arial" w:cs="Arial"/>
                <w:color w:val="000000"/>
                <w:kern w:val="0"/>
                <w:lang w:eastAsia="en-GB"/>
              </w:rPr>
            </w:pPr>
            <w:r w:rsidRPr="00C30280">
              <w:rPr>
                <w:rFonts w:ascii="Arial" w:eastAsia="Times New Roman" w:hAnsi="Arial" w:cs="Arial"/>
                <w:color w:val="000000"/>
                <w:kern w:val="0"/>
                <w:lang w:eastAsia="en-GB"/>
              </w:rPr>
              <w:t>-1.4%</w:t>
            </w:r>
          </w:p>
        </w:tc>
        <w:tc>
          <w:tcPr>
            <w:tcW w:w="1701" w:type="dxa"/>
            <w:tcBorders>
              <w:top w:val="nil"/>
              <w:left w:val="nil"/>
              <w:bottom w:val="single" w:sz="4" w:space="0" w:color="auto"/>
              <w:right w:val="single" w:sz="8" w:space="0" w:color="auto"/>
            </w:tcBorders>
            <w:shd w:val="clear" w:color="auto" w:fill="auto"/>
            <w:noWrap/>
            <w:vAlign w:val="bottom"/>
            <w:hideMark/>
          </w:tcPr>
          <w:p w:rsidR="00C30280" w:rsidRPr="00C30280" w:rsidRDefault="00C30280" w:rsidP="00C30280">
            <w:pPr>
              <w:tabs>
                <w:tab w:val="clear" w:pos="284"/>
              </w:tabs>
              <w:spacing w:line="240" w:lineRule="auto"/>
              <w:jc w:val="right"/>
              <w:rPr>
                <w:rFonts w:ascii="Arial" w:eastAsia="Times New Roman" w:hAnsi="Arial" w:cs="Arial"/>
                <w:color w:val="000000"/>
                <w:kern w:val="0"/>
                <w:lang w:eastAsia="en-GB"/>
              </w:rPr>
            </w:pPr>
            <w:r w:rsidRPr="00C30280">
              <w:rPr>
                <w:rFonts w:ascii="Arial" w:eastAsia="Times New Roman" w:hAnsi="Arial" w:cs="Arial"/>
                <w:color w:val="000000"/>
                <w:kern w:val="0"/>
                <w:lang w:eastAsia="en-GB"/>
              </w:rPr>
              <w:t>1.2%</w:t>
            </w:r>
          </w:p>
        </w:tc>
      </w:tr>
      <w:tr w:rsidR="00C30280" w:rsidRPr="00C30280" w:rsidTr="00C30280">
        <w:trPr>
          <w:trHeight w:val="228"/>
        </w:trPr>
        <w:tc>
          <w:tcPr>
            <w:tcW w:w="1853" w:type="dxa"/>
            <w:tcBorders>
              <w:top w:val="nil"/>
              <w:left w:val="single" w:sz="8" w:space="0" w:color="auto"/>
              <w:bottom w:val="single" w:sz="4" w:space="0" w:color="auto"/>
              <w:right w:val="single" w:sz="4" w:space="0" w:color="auto"/>
            </w:tcBorders>
            <w:shd w:val="clear" w:color="auto" w:fill="auto"/>
            <w:noWrap/>
            <w:vAlign w:val="bottom"/>
            <w:hideMark/>
          </w:tcPr>
          <w:p w:rsidR="00C30280" w:rsidRPr="00C30280" w:rsidRDefault="00C30280" w:rsidP="00C30280">
            <w:pPr>
              <w:tabs>
                <w:tab w:val="clear" w:pos="284"/>
              </w:tabs>
              <w:spacing w:line="240" w:lineRule="auto"/>
              <w:rPr>
                <w:rFonts w:ascii="Arial" w:eastAsia="Times New Roman" w:hAnsi="Arial" w:cs="Arial"/>
                <w:color w:val="000000"/>
                <w:kern w:val="0"/>
                <w:lang w:eastAsia="en-GB"/>
              </w:rPr>
            </w:pPr>
            <w:r w:rsidRPr="00C30280">
              <w:rPr>
                <w:rFonts w:ascii="Arial" w:eastAsia="Times New Roman" w:hAnsi="Arial" w:cs="Arial"/>
                <w:color w:val="000000"/>
                <w:kern w:val="0"/>
                <w:lang w:eastAsia="en-GB"/>
              </w:rPr>
              <w:t>16-24</w:t>
            </w:r>
          </w:p>
        </w:tc>
        <w:tc>
          <w:tcPr>
            <w:tcW w:w="1985" w:type="dxa"/>
            <w:tcBorders>
              <w:top w:val="nil"/>
              <w:left w:val="nil"/>
              <w:bottom w:val="single" w:sz="4" w:space="0" w:color="auto"/>
              <w:right w:val="single" w:sz="4" w:space="0" w:color="auto"/>
            </w:tcBorders>
            <w:shd w:val="clear" w:color="auto" w:fill="auto"/>
            <w:noWrap/>
            <w:vAlign w:val="bottom"/>
            <w:hideMark/>
          </w:tcPr>
          <w:p w:rsidR="00C30280" w:rsidRPr="00C30280" w:rsidRDefault="00C30280" w:rsidP="00C30280">
            <w:pPr>
              <w:tabs>
                <w:tab w:val="clear" w:pos="284"/>
              </w:tabs>
              <w:spacing w:line="240" w:lineRule="auto"/>
              <w:jc w:val="right"/>
              <w:rPr>
                <w:rFonts w:ascii="Arial" w:eastAsia="Times New Roman" w:hAnsi="Arial" w:cs="Arial"/>
                <w:color w:val="000000"/>
                <w:kern w:val="0"/>
                <w:lang w:eastAsia="en-GB"/>
              </w:rPr>
            </w:pPr>
            <w:r w:rsidRPr="00C30280">
              <w:rPr>
                <w:rFonts w:ascii="Arial" w:eastAsia="Times New Roman" w:hAnsi="Arial" w:cs="Arial"/>
                <w:color w:val="000000"/>
                <w:kern w:val="0"/>
                <w:lang w:eastAsia="en-GB"/>
              </w:rPr>
              <w:t>-16.1%</w:t>
            </w:r>
          </w:p>
        </w:tc>
        <w:tc>
          <w:tcPr>
            <w:tcW w:w="1701" w:type="dxa"/>
            <w:tcBorders>
              <w:top w:val="nil"/>
              <w:left w:val="nil"/>
              <w:bottom w:val="single" w:sz="4" w:space="0" w:color="auto"/>
              <w:right w:val="single" w:sz="4" w:space="0" w:color="auto"/>
            </w:tcBorders>
            <w:shd w:val="clear" w:color="auto" w:fill="auto"/>
            <w:noWrap/>
            <w:vAlign w:val="bottom"/>
            <w:hideMark/>
          </w:tcPr>
          <w:p w:rsidR="00C30280" w:rsidRPr="00C30280" w:rsidRDefault="00C30280" w:rsidP="00C30280">
            <w:pPr>
              <w:tabs>
                <w:tab w:val="clear" w:pos="284"/>
              </w:tabs>
              <w:spacing w:line="240" w:lineRule="auto"/>
              <w:jc w:val="right"/>
              <w:rPr>
                <w:rFonts w:ascii="Arial" w:eastAsia="Times New Roman" w:hAnsi="Arial" w:cs="Arial"/>
                <w:color w:val="000000"/>
                <w:kern w:val="0"/>
                <w:lang w:eastAsia="en-GB"/>
              </w:rPr>
            </w:pPr>
            <w:r w:rsidRPr="00C30280">
              <w:rPr>
                <w:rFonts w:ascii="Arial" w:eastAsia="Times New Roman" w:hAnsi="Arial" w:cs="Arial"/>
                <w:color w:val="000000"/>
                <w:kern w:val="0"/>
                <w:lang w:eastAsia="en-GB"/>
              </w:rPr>
              <w:t>15.7%</w:t>
            </w:r>
          </w:p>
        </w:tc>
        <w:tc>
          <w:tcPr>
            <w:tcW w:w="1701" w:type="dxa"/>
            <w:tcBorders>
              <w:top w:val="nil"/>
              <w:left w:val="nil"/>
              <w:bottom w:val="single" w:sz="4" w:space="0" w:color="auto"/>
              <w:right w:val="single" w:sz="8" w:space="0" w:color="auto"/>
            </w:tcBorders>
            <w:shd w:val="clear" w:color="auto" w:fill="auto"/>
            <w:noWrap/>
            <w:vAlign w:val="bottom"/>
            <w:hideMark/>
          </w:tcPr>
          <w:p w:rsidR="00C30280" w:rsidRPr="00C30280" w:rsidRDefault="00C30280" w:rsidP="00C30280">
            <w:pPr>
              <w:tabs>
                <w:tab w:val="clear" w:pos="284"/>
              </w:tabs>
              <w:spacing w:line="240" w:lineRule="auto"/>
              <w:jc w:val="right"/>
              <w:rPr>
                <w:rFonts w:ascii="Arial" w:eastAsia="Times New Roman" w:hAnsi="Arial" w:cs="Arial"/>
                <w:color w:val="000000"/>
                <w:kern w:val="0"/>
                <w:lang w:eastAsia="en-GB"/>
              </w:rPr>
            </w:pPr>
            <w:r w:rsidRPr="00C30280">
              <w:rPr>
                <w:rFonts w:ascii="Arial" w:eastAsia="Times New Roman" w:hAnsi="Arial" w:cs="Arial"/>
                <w:color w:val="000000"/>
                <w:kern w:val="0"/>
                <w:lang w:eastAsia="en-GB"/>
              </w:rPr>
              <w:t>17.2%</w:t>
            </w:r>
          </w:p>
        </w:tc>
      </w:tr>
      <w:tr w:rsidR="00C30280" w:rsidRPr="00C30280" w:rsidTr="00C30280">
        <w:trPr>
          <w:trHeight w:val="228"/>
        </w:trPr>
        <w:tc>
          <w:tcPr>
            <w:tcW w:w="1853" w:type="dxa"/>
            <w:tcBorders>
              <w:top w:val="nil"/>
              <w:left w:val="single" w:sz="8" w:space="0" w:color="auto"/>
              <w:bottom w:val="single" w:sz="4" w:space="0" w:color="auto"/>
              <w:right w:val="single" w:sz="4" w:space="0" w:color="auto"/>
            </w:tcBorders>
            <w:shd w:val="clear" w:color="auto" w:fill="auto"/>
            <w:noWrap/>
            <w:vAlign w:val="bottom"/>
            <w:hideMark/>
          </w:tcPr>
          <w:p w:rsidR="00C30280" w:rsidRPr="00C30280" w:rsidRDefault="00C30280" w:rsidP="00C30280">
            <w:pPr>
              <w:tabs>
                <w:tab w:val="clear" w:pos="284"/>
              </w:tabs>
              <w:spacing w:line="240" w:lineRule="auto"/>
              <w:rPr>
                <w:rFonts w:ascii="Arial" w:eastAsia="Times New Roman" w:hAnsi="Arial" w:cs="Arial"/>
                <w:color w:val="000000"/>
                <w:kern w:val="0"/>
                <w:lang w:eastAsia="en-GB"/>
              </w:rPr>
            </w:pPr>
            <w:r w:rsidRPr="00C30280">
              <w:rPr>
                <w:rFonts w:ascii="Arial" w:eastAsia="Times New Roman" w:hAnsi="Arial" w:cs="Arial"/>
                <w:color w:val="000000"/>
                <w:kern w:val="0"/>
                <w:lang w:eastAsia="en-GB"/>
              </w:rPr>
              <w:t>25-44</w:t>
            </w:r>
          </w:p>
        </w:tc>
        <w:tc>
          <w:tcPr>
            <w:tcW w:w="1985" w:type="dxa"/>
            <w:tcBorders>
              <w:top w:val="nil"/>
              <w:left w:val="nil"/>
              <w:bottom w:val="single" w:sz="4" w:space="0" w:color="auto"/>
              <w:right w:val="single" w:sz="4" w:space="0" w:color="auto"/>
            </w:tcBorders>
            <w:shd w:val="clear" w:color="auto" w:fill="auto"/>
            <w:noWrap/>
            <w:vAlign w:val="bottom"/>
            <w:hideMark/>
          </w:tcPr>
          <w:p w:rsidR="00C30280" w:rsidRPr="00C30280" w:rsidRDefault="00C30280" w:rsidP="00C30280">
            <w:pPr>
              <w:tabs>
                <w:tab w:val="clear" w:pos="284"/>
              </w:tabs>
              <w:spacing w:line="240" w:lineRule="auto"/>
              <w:jc w:val="right"/>
              <w:rPr>
                <w:rFonts w:ascii="Arial" w:eastAsia="Times New Roman" w:hAnsi="Arial" w:cs="Arial"/>
                <w:color w:val="000000"/>
                <w:kern w:val="0"/>
                <w:lang w:eastAsia="en-GB"/>
              </w:rPr>
            </w:pPr>
            <w:r w:rsidRPr="00C30280">
              <w:rPr>
                <w:rFonts w:ascii="Arial" w:eastAsia="Times New Roman" w:hAnsi="Arial" w:cs="Arial"/>
                <w:color w:val="000000"/>
                <w:kern w:val="0"/>
                <w:lang w:eastAsia="en-GB"/>
              </w:rPr>
              <w:t>-7.1%</w:t>
            </w:r>
          </w:p>
        </w:tc>
        <w:tc>
          <w:tcPr>
            <w:tcW w:w="1701" w:type="dxa"/>
            <w:tcBorders>
              <w:top w:val="nil"/>
              <w:left w:val="nil"/>
              <w:bottom w:val="single" w:sz="4" w:space="0" w:color="auto"/>
              <w:right w:val="single" w:sz="4" w:space="0" w:color="auto"/>
            </w:tcBorders>
            <w:shd w:val="clear" w:color="auto" w:fill="auto"/>
            <w:noWrap/>
            <w:vAlign w:val="bottom"/>
            <w:hideMark/>
          </w:tcPr>
          <w:p w:rsidR="00C30280" w:rsidRPr="00C30280" w:rsidRDefault="00C30280" w:rsidP="00C30280">
            <w:pPr>
              <w:tabs>
                <w:tab w:val="clear" w:pos="284"/>
              </w:tabs>
              <w:spacing w:line="240" w:lineRule="auto"/>
              <w:jc w:val="right"/>
              <w:rPr>
                <w:rFonts w:ascii="Arial" w:eastAsia="Times New Roman" w:hAnsi="Arial" w:cs="Arial"/>
                <w:color w:val="000000"/>
                <w:kern w:val="0"/>
                <w:lang w:eastAsia="en-GB"/>
              </w:rPr>
            </w:pPr>
            <w:r w:rsidRPr="00C30280">
              <w:rPr>
                <w:rFonts w:ascii="Arial" w:eastAsia="Times New Roman" w:hAnsi="Arial" w:cs="Arial"/>
                <w:color w:val="000000"/>
                <w:kern w:val="0"/>
                <w:lang w:eastAsia="en-GB"/>
              </w:rPr>
              <w:t>-3.9%</w:t>
            </w:r>
          </w:p>
        </w:tc>
        <w:tc>
          <w:tcPr>
            <w:tcW w:w="1701" w:type="dxa"/>
            <w:tcBorders>
              <w:top w:val="nil"/>
              <w:left w:val="nil"/>
              <w:bottom w:val="single" w:sz="4" w:space="0" w:color="auto"/>
              <w:right w:val="single" w:sz="8" w:space="0" w:color="auto"/>
            </w:tcBorders>
            <w:shd w:val="clear" w:color="auto" w:fill="auto"/>
            <w:noWrap/>
            <w:vAlign w:val="bottom"/>
            <w:hideMark/>
          </w:tcPr>
          <w:p w:rsidR="00C30280" w:rsidRPr="00C30280" w:rsidRDefault="00C30280" w:rsidP="00C30280">
            <w:pPr>
              <w:tabs>
                <w:tab w:val="clear" w:pos="284"/>
              </w:tabs>
              <w:spacing w:line="240" w:lineRule="auto"/>
              <w:jc w:val="right"/>
              <w:rPr>
                <w:rFonts w:ascii="Arial" w:eastAsia="Times New Roman" w:hAnsi="Arial" w:cs="Arial"/>
                <w:color w:val="000000"/>
                <w:kern w:val="0"/>
                <w:lang w:eastAsia="en-GB"/>
              </w:rPr>
            </w:pPr>
            <w:r w:rsidRPr="00C30280">
              <w:rPr>
                <w:rFonts w:ascii="Arial" w:eastAsia="Times New Roman" w:hAnsi="Arial" w:cs="Arial"/>
                <w:color w:val="000000"/>
                <w:kern w:val="0"/>
                <w:lang w:eastAsia="en-GB"/>
              </w:rPr>
              <w:t>1.4%</w:t>
            </w:r>
          </w:p>
        </w:tc>
      </w:tr>
      <w:tr w:rsidR="00C30280" w:rsidRPr="00C30280" w:rsidTr="00C30280">
        <w:trPr>
          <w:trHeight w:val="228"/>
        </w:trPr>
        <w:tc>
          <w:tcPr>
            <w:tcW w:w="1853" w:type="dxa"/>
            <w:tcBorders>
              <w:top w:val="nil"/>
              <w:left w:val="single" w:sz="8" w:space="0" w:color="auto"/>
              <w:bottom w:val="single" w:sz="4" w:space="0" w:color="auto"/>
              <w:right w:val="single" w:sz="4" w:space="0" w:color="auto"/>
            </w:tcBorders>
            <w:shd w:val="clear" w:color="auto" w:fill="auto"/>
            <w:noWrap/>
            <w:vAlign w:val="bottom"/>
            <w:hideMark/>
          </w:tcPr>
          <w:p w:rsidR="00C30280" w:rsidRPr="00C30280" w:rsidRDefault="00C30280" w:rsidP="00C30280">
            <w:pPr>
              <w:tabs>
                <w:tab w:val="clear" w:pos="284"/>
              </w:tabs>
              <w:spacing w:line="240" w:lineRule="auto"/>
              <w:rPr>
                <w:rFonts w:ascii="Arial" w:eastAsia="Times New Roman" w:hAnsi="Arial" w:cs="Arial"/>
                <w:color w:val="000000"/>
                <w:kern w:val="0"/>
                <w:lang w:eastAsia="en-GB"/>
              </w:rPr>
            </w:pPr>
            <w:r w:rsidRPr="00C30280">
              <w:rPr>
                <w:rFonts w:ascii="Arial" w:eastAsia="Times New Roman" w:hAnsi="Arial" w:cs="Arial"/>
                <w:color w:val="000000"/>
                <w:kern w:val="0"/>
                <w:lang w:eastAsia="en-GB"/>
              </w:rPr>
              <w:t>45-64</w:t>
            </w:r>
          </w:p>
        </w:tc>
        <w:tc>
          <w:tcPr>
            <w:tcW w:w="1985" w:type="dxa"/>
            <w:tcBorders>
              <w:top w:val="nil"/>
              <w:left w:val="nil"/>
              <w:bottom w:val="single" w:sz="4" w:space="0" w:color="auto"/>
              <w:right w:val="single" w:sz="4" w:space="0" w:color="auto"/>
            </w:tcBorders>
            <w:shd w:val="clear" w:color="auto" w:fill="auto"/>
            <w:noWrap/>
            <w:vAlign w:val="bottom"/>
            <w:hideMark/>
          </w:tcPr>
          <w:p w:rsidR="00C30280" w:rsidRPr="00C30280" w:rsidRDefault="00C30280" w:rsidP="00C30280">
            <w:pPr>
              <w:tabs>
                <w:tab w:val="clear" w:pos="284"/>
              </w:tabs>
              <w:spacing w:line="240" w:lineRule="auto"/>
              <w:jc w:val="right"/>
              <w:rPr>
                <w:rFonts w:ascii="Arial" w:eastAsia="Times New Roman" w:hAnsi="Arial" w:cs="Arial"/>
                <w:color w:val="000000"/>
                <w:kern w:val="0"/>
                <w:lang w:eastAsia="en-GB"/>
              </w:rPr>
            </w:pPr>
            <w:r w:rsidRPr="00C30280">
              <w:rPr>
                <w:rFonts w:ascii="Arial" w:eastAsia="Times New Roman" w:hAnsi="Arial" w:cs="Arial"/>
                <w:color w:val="000000"/>
                <w:kern w:val="0"/>
                <w:lang w:eastAsia="en-GB"/>
              </w:rPr>
              <w:t>-7.5%</w:t>
            </w:r>
          </w:p>
        </w:tc>
        <w:tc>
          <w:tcPr>
            <w:tcW w:w="1701" w:type="dxa"/>
            <w:tcBorders>
              <w:top w:val="nil"/>
              <w:left w:val="nil"/>
              <w:bottom w:val="single" w:sz="4" w:space="0" w:color="auto"/>
              <w:right w:val="single" w:sz="4" w:space="0" w:color="auto"/>
            </w:tcBorders>
            <w:shd w:val="clear" w:color="auto" w:fill="auto"/>
            <w:noWrap/>
            <w:vAlign w:val="bottom"/>
            <w:hideMark/>
          </w:tcPr>
          <w:p w:rsidR="00C30280" w:rsidRPr="00C30280" w:rsidRDefault="00C30280" w:rsidP="00C30280">
            <w:pPr>
              <w:tabs>
                <w:tab w:val="clear" w:pos="284"/>
              </w:tabs>
              <w:spacing w:line="240" w:lineRule="auto"/>
              <w:jc w:val="right"/>
              <w:rPr>
                <w:rFonts w:ascii="Arial" w:eastAsia="Times New Roman" w:hAnsi="Arial" w:cs="Arial"/>
                <w:color w:val="000000"/>
                <w:kern w:val="0"/>
                <w:lang w:eastAsia="en-GB"/>
              </w:rPr>
            </w:pPr>
            <w:r w:rsidRPr="00C30280">
              <w:rPr>
                <w:rFonts w:ascii="Arial" w:eastAsia="Times New Roman" w:hAnsi="Arial" w:cs="Arial"/>
                <w:color w:val="000000"/>
                <w:kern w:val="0"/>
                <w:lang w:eastAsia="en-GB"/>
              </w:rPr>
              <w:t>12.9%</w:t>
            </w:r>
          </w:p>
        </w:tc>
        <w:tc>
          <w:tcPr>
            <w:tcW w:w="1701" w:type="dxa"/>
            <w:tcBorders>
              <w:top w:val="nil"/>
              <w:left w:val="nil"/>
              <w:bottom w:val="single" w:sz="4" w:space="0" w:color="auto"/>
              <w:right w:val="single" w:sz="8" w:space="0" w:color="auto"/>
            </w:tcBorders>
            <w:shd w:val="clear" w:color="auto" w:fill="auto"/>
            <w:noWrap/>
            <w:vAlign w:val="bottom"/>
            <w:hideMark/>
          </w:tcPr>
          <w:p w:rsidR="00C30280" w:rsidRPr="00C30280" w:rsidRDefault="00C30280" w:rsidP="00C30280">
            <w:pPr>
              <w:tabs>
                <w:tab w:val="clear" w:pos="284"/>
              </w:tabs>
              <w:spacing w:line="240" w:lineRule="auto"/>
              <w:jc w:val="right"/>
              <w:rPr>
                <w:rFonts w:ascii="Arial" w:eastAsia="Times New Roman" w:hAnsi="Arial" w:cs="Arial"/>
                <w:color w:val="000000"/>
                <w:kern w:val="0"/>
                <w:lang w:eastAsia="en-GB"/>
              </w:rPr>
            </w:pPr>
            <w:r w:rsidRPr="00C30280">
              <w:rPr>
                <w:rFonts w:ascii="Arial" w:eastAsia="Times New Roman" w:hAnsi="Arial" w:cs="Arial"/>
                <w:color w:val="000000"/>
                <w:kern w:val="0"/>
                <w:lang w:eastAsia="en-GB"/>
              </w:rPr>
              <w:t>15.2%</w:t>
            </w:r>
          </w:p>
        </w:tc>
      </w:tr>
      <w:tr w:rsidR="00C30280" w:rsidRPr="00C30280" w:rsidTr="00C30280">
        <w:trPr>
          <w:trHeight w:val="228"/>
        </w:trPr>
        <w:tc>
          <w:tcPr>
            <w:tcW w:w="1853" w:type="dxa"/>
            <w:tcBorders>
              <w:top w:val="nil"/>
              <w:left w:val="single" w:sz="8" w:space="0" w:color="auto"/>
              <w:bottom w:val="single" w:sz="4" w:space="0" w:color="auto"/>
              <w:right w:val="single" w:sz="4" w:space="0" w:color="auto"/>
            </w:tcBorders>
            <w:shd w:val="clear" w:color="auto" w:fill="auto"/>
            <w:noWrap/>
            <w:vAlign w:val="bottom"/>
            <w:hideMark/>
          </w:tcPr>
          <w:p w:rsidR="00C30280" w:rsidRPr="00C30280" w:rsidRDefault="00C30280" w:rsidP="00C30280">
            <w:pPr>
              <w:tabs>
                <w:tab w:val="clear" w:pos="284"/>
              </w:tabs>
              <w:spacing w:line="240" w:lineRule="auto"/>
              <w:rPr>
                <w:rFonts w:ascii="Arial" w:eastAsia="Times New Roman" w:hAnsi="Arial" w:cs="Arial"/>
                <w:color w:val="000000"/>
                <w:kern w:val="0"/>
                <w:lang w:eastAsia="en-GB"/>
              </w:rPr>
            </w:pPr>
            <w:r w:rsidRPr="00C30280">
              <w:rPr>
                <w:rFonts w:ascii="Arial" w:eastAsia="Times New Roman" w:hAnsi="Arial" w:cs="Arial"/>
                <w:color w:val="000000"/>
                <w:kern w:val="0"/>
                <w:lang w:eastAsia="en-GB"/>
              </w:rPr>
              <w:t>65-84</w:t>
            </w:r>
          </w:p>
        </w:tc>
        <w:tc>
          <w:tcPr>
            <w:tcW w:w="1985" w:type="dxa"/>
            <w:tcBorders>
              <w:top w:val="nil"/>
              <w:left w:val="nil"/>
              <w:bottom w:val="single" w:sz="4" w:space="0" w:color="auto"/>
              <w:right w:val="single" w:sz="4" w:space="0" w:color="auto"/>
            </w:tcBorders>
            <w:shd w:val="clear" w:color="auto" w:fill="auto"/>
            <w:noWrap/>
            <w:vAlign w:val="bottom"/>
            <w:hideMark/>
          </w:tcPr>
          <w:p w:rsidR="00C30280" w:rsidRPr="00C30280" w:rsidRDefault="00C30280" w:rsidP="00C30280">
            <w:pPr>
              <w:tabs>
                <w:tab w:val="clear" w:pos="284"/>
              </w:tabs>
              <w:spacing w:line="240" w:lineRule="auto"/>
              <w:jc w:val="right"/>
              <w:rPr>
                <w:rFonts w:ascii="Arial" w:eastAsia="Times New Roman" w:hAnsi="Arial" w:cs="Arial"/>
                <w:color w:val="000000"/>
                <w:kern w:val="0"/>
                <w:lang w:eastAsia="en-GB"/>
              </w:rPr>
            </w:pPr>
            <w:r w:rsidRPr="00C30280">
              <w:rPr>
                <w:rFonts w:ascii="Arial" w:eastAsia="Times New Roman" w:hAnsi="Arial" w:cs="Arial"/>
                <w:color w:val="000000"/>
                <w:kern w:val="0"/>
                <w:lang w:eastAsia="en-GB"/>
              </w:rPr>
              <w:t>0.8%</w:t>
            </w:r>
          </w:p>
        </w:tc>
        <w:tc>
          <w:tcPr>
            <w:tcW w:w="1701" w:type="dxa"/>
            <w:tcBorders>
              <w:top w:val="nil"/>
              <w:left w:val="nil"/>
              <w:bottom w:val="single" w:sz="4" w:space="0" w:color="auto"/>
              <w:right w:val="single" w:sz="4" w:space="0" w:color="auto"/>
            </w:tcBorders>
            <w:shd w:val="clear" w:color="auto" w:fill="auto"/>
            <w:noWrap/>
            <w:vAlign w:val="bottom"/>
            <w:hideMark/>
          </w:tcPr>
          <w:p w:rsidR="00C30280" w:rsidRPr="00C30280" w:rsidRDefault="00C30280" w:rsidP="00C30280">
            <w:pPr>
              <w:tabs>
                <w:tab w:val="clear" w:pos="284"/>
              </w:tabs>
              <w:spacing w:line="240" w:lineRule="auto"/>
              <w:jc w:val="right"/>
              <w:rPr>
                <w:rFonts w:ascii="Arial" w:eastAsia="Times New Roman" w:hAnsi="Arial" w:cs="Arial"/>
                <w:color w:val="000000"/>
                <w:kern w:val="0"/>
                <w:lang w:eastAsia="en-GB"/>
              </w:rPr>
            </w:pPr>
            <w:r w:rsidRPr="00C30280">
              <w:rPr>
                <w:rFonts w:ascii="Arial" w:eastAsia="Times New Roman" w:hAnsi="Arial" w:cs="Arial"/>
                <w:color w:val="000000"/>
                <w:kern w:val="0"/>
                <w:lang w:eastAsia="en-GB"/>
              </w:rPr>
              <w:t>12.4%</w:t>
            </w:r>
          </w:p>
        </w:tc>
        <w:tc>
          <w:tcPr>
            <w:tcW w:w="1701" w:type="dxa"/>
            <w:tcBorders>
              <w:top w:val="nil"/>
              <w:left w:val="nil"/>
              <w:bottom w:val="single" w:sz="4" w:space="0" w:color="auto"/>
              <w:right w:val="single" w:sz="8" w:space="0" w:color="auto"/>
            </w:tcBorders>
            <w:shd w:val="clear" w:color="auto" w:fill="auto"/>
            <w:noWrap/>
            <w:vAlign w:val="bottom"/>
            <w:hideMark/>
          </w:tcPr>
          <w:p w:rsidR="00C30280" w:rsidRPr="00C30280" w:rsidRDefault="00C30280" w:rsidP="00C30280">
            <w:pPr>
              <w:tabs>
                <w:tab w:val="clear" w:pos="284"/>
              </w:tabs>
              <w:spacing w:line="240" w:lineRule="auto"/>
              <w:jc w:val="right"/>
              <w:rPr>
                <w:rFonts w:ascii="Arial" w:eastAsia="Times New Roman" w:hAnsi="Arial" w:cs="Arial"/>
                <w:color w:val="000000"/>
                <w:kern w:val="0"/>
                <w:lang w:eastAsia="en-GB"/>
              </w:rPr>
            </w:pPr>
            <w:r w:rsidRPr="00C30280">
              <w:rPr>
                <w:rFonts w:ascii="Arial" w:eastAsia="Times New Roman" w:hAnsi="Arial" w:cs="Arial"/>
                <w:color w:val="000000"/>
                <w:kern w:val="0"/>
                <w:lang w:eastAsia="en-GB"/>
              </w:rPr>
              <w:t>9.1%</w:t>
            </w:r>
          </w:p>
        </w:tc>
      </w:tr>
      <w:tr w:rsidR="00C30280" w:rsidRPr="00C30280" w:rsidTr="00C30280">
        <w:trPr>
          <w:trHeight w:val="240"/>
        </w:trPr>
        <w:tc>
          <w:tcPr>
            <w:tcW w:w="1853" w:type="dxa"/>
            <w:tcBorders>
              <w:top w:val="nil"/>
              <w:left w:val="single" w:sz="8" w:space="0" w:color="auto"/>
              <w:bottom w:val="single" w:sz="8" w:space="0" w:color="auto"/>
              <w:right w:val="single" w:sz="4" w:space="0" w:color="auto"/>
            </w:tcBorders>
            <w:shd w:val="clear" w:color="auto" w:fill="auto"/>
            <w:noWrap/>
            <w:vAlign w:val="bottom"/>
            <w:hideMark/>
          </w:tcPr>
          <w:p w:rsidR="00C30280" w:rsidRPr="00C30280" w:rsidRDefault="00C30280" w:rsidP="00C30280">
            <w:pPr>
              <w:tabs>
                <w:tab w:val="clear" w:pos="284"/>
              </w:tabs>
              <w:spacing w:line="240" w:lineRule="auto"/>
              <w:rPr>
                <w:rFonts w:ascii="Arial" w:eastAsia="Times New Roman" w:hAnsi="Arial" w:cs="Arial"/>
                <w:color w:val="000000"/>
                <w:kern w:val="0"/>
                <w:lang w:eastAsia="en-GB"/>
              </w:rPr>
            </w:pPr>
            <w:r w:rsidRPr="00C30280">
              <w:rPr>
                <w:rFonts w:ascii="Arial" w:eastAsia="Times New Roman" w:hAnsi="Arial" w:cs="Arial"/>
                <w:color w:val="000000"/>
                <w:kern w:val="0"/>
                <w:lang w:eastAsia="en-GB"/>
              </w:rPr>
              <w:t>85 and over</w:t>
            </w:r>
          </w:p>
        </w:tc>
        <w:tc>
          <w:tcPr>
            <w:tcW w:w="1985" w:type="dxa"/>
            <w:tcBorders>
              <w:top w:val="nil"/>
              <w:left w:val="nil"/>
              <w:bottom w:val="single" w:sz="8" w:space="0" w:color="auto"/>
              <w:right w:val="single" w:sz="4" w:space="0" w:color="auto"/>
            </w:tcBorders>
            <w:shd w:val="clear" w:color="auto" w:fill="auto"/>
            <w:noWrap/>
            <w:vAlign w:val="bottom"/>
            <w:hideMark/>
          </w:tcPr>
          <w:p w:rsidR="00C30280" w:rsidRPr="00C30280" w:rsidRDefault="00C30280" w:rsidP="00C30280">
            <w:pPr>
              <w:tabs>
                <w:tab w:val="clear" w:pos="284"/>
              </w:tabs>
              <w:spacing w:line="240" w:lineRule="auto"/>
              <w:jc w:val="right"/>
              <w:rPr>
                <w:rFonts w:ascii="Arial" w:eastAsia="Times New Roman" w:hAnsi="Arial" w:cs="Arial"/>
                <w:color w:val="000000"/>
                <w:kern w:val="0"/>
                <w:lang w:eastAsia="en-GB"/>
              </w:rPr>
            </w:pPr>
            <w:r w:rsidRPr="00C30280">
              <w:rPr>
                <w:rFonts w:ascii="Arial" w:eastAsia="Times New Roman" w:hAnsi="Arial" w:cs="Arial"/>
                <w:color w:val="000000"/>
                <w:kern w:val="0"/>
                <w:lang w:eastAsia="en-GB"/>
              </w:rPr>
              <w:t>21.5%</w:t>
            </w:r>
          </w:p>
        </w:tc>
        <w:tc>
          <w:tcPr>
            <w:tcW w:w="1701" w:type="dxa"/>
            <w:tcBorders>
              <w:top w:val="nil"/>
              <w:left w:val="nil"/>
              <w:bottom w:val="single" w:sz="8" w:space="0" w:color="auto"/>
              <w:right w:val="single" w:sz="4" w:space="0" w:color="auto"/>
            </w:tcBorders>
            <w:shd w:val="clear" w:color="auto" w:fill="auto"/>
            <w:noWrap/>
            <w:vAlign w:val="bottom"/>
            <w:hideMark/>
          </w:tcPr>
          <w:p w:rsidR="00C30280" w:rsidRPr="00C30280" w:rsidRDefault="00C30280" w:rsidP="00C30280">
            <w:pPr>
              <w:tabs>
                <w:tab w:val="clear" w:pos="284"/>
              </w:tabs>
              <w:spacing w:line="240" w:lineRule="auto"/>
              <w:jc w:val="right"/>
              <w:rPr>
                <w:rFonts w:ascii="Arial" w:eastAsia="Times New Roman" w:hAnsi="Arial" w:cs="Arial"/>
                <w:color w:val="000000"/>
                <w:kern w:val="0"/>
                <w:lang w:eastAsia="en-GB"/>
              </w:rPr>
            </w:pPr>
            <w:r w:rsidRPr="00C30280">
              <w:rPr>
                <w:rFonts w:ascii="Arial" w:eastAsia="Times New Roman" w:hAnsi="Arial" w:cs="Arial"/>
                <w:color w:val="000000"/>
                <w:kern w:val="0"/>
                <w:lang w:eastAsia="en-GB"/>
              </w:rPr>
              <w:t>21.9%</w:t>
            </w:r>
          </w:p>
        </w:tc>
        <w:tc>
          <w:tcPr>
            <w:tcW w:w="1701" w:type="dxa"/>
            <w:tcBorders>
              <w:top w:val="nil"/>
              <w:left w:val="nil"/>
              <w:bottom w:val="single" w:sz="8" w:space="0" w:color="auto"/>
              <w:right w:val="single" w:sz="8" w:space="0" w:color="auto"/>
            </w:tcBorders>
            <w:shd w:val="clear" w:color="auto" w:fill="auto"/>
            <w:noWrap/>
            <w:vAlign w:val="bottom"/>
            <w:hideMark/>
          </w:tcPr>
          <w:p w:rsidR="00C30280" w:rsidRPr="00C30280" w:rsidRDefault="00C30280" w:rsidP="00C30280">
            <w:pPr>
              <w:tabs>
                <w:tab w:val="clear" w:pos="284"/>
              </w:tabs>
              <w:spacing w:line="240" w:lineRule="auto"/>
              <w:jc w:val="right"/>
              <w:rPr>
                <w:rFonts w:ascii="Arial" w:eastAsia="Times New Roman" w:hAnsi="Arial" w:cs="Arial"/>
                <w:color w:val="000000"/>
                <w:kern w:val="0"/>
                <w:lang w:eastAsia="en-GB"/>
              </w:rPr>
            </w:pPr>
            <w:r w:rsidRPr="00C30280">
              <w:rPr>
                <w:rFonts w:ascii="Arial" w:eastAsia="Times New Roman" w:hAnsi="Arial" w:cs="Arial"/>
                <w:color w:val="000000"/>
                <w:kern w:val="0"/>
                <w:lang w:eastAsia="en-GB"/>
              </w:rPr>
              <w:t>23.7%</w:t>
            </w:r>
          </w:p>
        </w:tc>
      </w:tr>
    </w:tbl>
    <w:p w:rsidR="00C30280" w:rsidRPr="001F62F6" w:rsidRDefault="00C30280" w:rsidP="00C26717">
      <w:pPr>
        <w:pStyle w:val="Source"/>
        <w:rPr>
          <w:lang w:val="en-US"/>
        </w:rPr>
      </w:pPr>
      <w:r w:rsidRPr="001F62F6">
        <w:rPr>
          <w:lang w:val="en-US"/>
        </w:rPr>
        <w:t xml:space="preserve">Source: Census 2001 and 2011, AECOM </w:t>
      </w:r>
      <w:r w:rsidR="0028437E">
        <w:rPr>
          <w:lang w:val="en-US"/>
        </w:rPr>
        <w:t>c</w:t>
      </w:r>
      <w:r w:rsidRPr="001F62F6">
        <w:rPr>
          <w:lang w:val="en-US"/>
        </w:rPr>
        <w:t>alculations</w:t>
      </w:r>
    </w:p>
    <w:p w:rsidR="001F62F6" w:rsidRPr="001F62F6" w:rsidRDefault="00C26717" w:rsidP="00C26717">
      <w:pPr>
        <w:pStyle w:val="ListNumber"/>
        <w:rPr>
          <w:lang w:val="en-US"/>
        </w:rPr>
      </w:pPr>
      <w:r>
        <w:rPr>
          <w:lang w:val="en-US"/>
        </w:rPr>
        <w:t>Table 6</w:t>
      </w:r>
      <w:r w:rsidR="001F62F6" w:rsidRPr="001F62F6">
        <w:rPr>
          <w:lang w:val="en-US"/>
        </w:rPr>
        <w:t xml:space="preserve"> reproduces Table 3 from ROAHN14 in which projections for how the age structure at the </w:t>
      </w:r>
      <w:r w:rsidR="005F5CF8">
        <w:rPr>
          <w:lang w:val="en-US"/>
        </w:rPr>
        <w:t>District</w:t>
      </w:r>
      <w:r w:rsidR="001F62F6" w:rsidRPr="001F62F6">
        <w:rPr>
          <w:lang w:val="en-US"/>
        </w:rPr>
        <w:t xml:space="preserve"> level will change </w:t>
      </w:r>
      <w:r w:rsidR="00F3022F">
        <w:rPr>
          <w:lang w:val="en-US"/>
        </w:rPr>
        <w:t xml:space="preserve">between the years 2013 and 2029 </w:t>
      </w:r>
      <w:r w:rsidR="001F62F6" w:rsidRPr="001F62F6">
        <w:rPr>
          <w:lang w:val="en-US"/>
        </w:rPr>
        <w:t xml:space="preserve">are set out. </w:t>
      </w:r>
      <w:r w:rsidR="001F62F6">
        <w:rPr>
          <w:lang w:val="en-US"/>
        </w:rPr>
        <w:t xml:space="preserve">At the </w:t>
      </w:r>
      <w:r w:rsidR="005F5CF8">
        <w:rPr>
          <w:lang w:val="en-US"/>
        </w:rPr>
        <w:t>District</w:t>
      </w:r>
      <w:r w:rsidR="001F62F6">
        <w:rPr>
          <w:lang w:val="en-US"/>
        </w:rPr>
        <w:t xml:space="preserve"> level the loss of those falling into younger age group</w:t>
      </w:r>
      <w:r w:rsidR="00F3022F">
        <w:rPr>
          <w:lang w:val="en-US"/>
        </w:rPr>
        <w:t xml:space="preserve">s is less pronounced than in West </w:t>
      </w:r>
      <w:proofErr w:type="spellStart"/>
      <w:r w:rsidR="00F3022F">
        <w:rPr>
          <w:lang w:val="en-US"/>
        </w:rPr>
        <w:t>Wittering</w:t>
      </w:r>
      <w:proofErr w:type="spellEnd"/>
      <w:r w:rsidR="001F62F6">
        <w:rPr>
          <w:lang w:val="en-US"/>
        </w:rPr>
        <w:t xml:space="preserve"> with some, for example those of school age, aged 10-14 years of age (</w:t>
      </w:r>
      <w:proofErr w:type="spellStart"/>
      <w:r w:rsidR="001F62F6">
        <w:rPr>
          <w:lang w:val="en-US"/>
        </w:rPr>
        <w:t>yoa</w:t>
      </w:r>
      <w:proofErr w:type="spellEnd"/>
      <w:r w:rsidR="001F62F6">
        <w:rPr>
          <w:lang w:val="en-US"/>
        </w:rPr>
        <w:t>)</w:t>
      </w:r>
      <w:r w:rsidR="00F3022F">
        <w:rPr>
          <w:lang w:val="en-US"/>
        </w:rPr>
        <w:t xml:space="preserve"> increasing in number; this is matched </w:t>
      </w:r>
      <w:r w:rsidR="000F6FE4">
        <w:rPr>
          <w:lang w:val="en-US"/>
        </w:rPr>
        <w:t xml:space="preserve">a commensurate increase in adults in their late thirties. The majority however of the increase in population is made up of people over the age of 65; the total increase in those falling into these age groups totals 10,958 of a total increase of 14,568, or 75%. </w:t>
      </w:r>
    </w:p>
    <w:p w:rsidR="001F62F6" w:rsidRPr="001F62F6" w:rsidRDefault="001F62F6" w:rsidP="001F62F6">
      <w:pPr>
        <w:pStyle w:val="ListNumber"/>
        <w:numPr>
          <w:ilvl w:val="0"/>
          <w:numId w:val="0"/>
        </w:numPr>
        <w:spacing w:after="0"/>
        <w:ind w:left="425" w:hanging="425"/>
        <w:rPr>
          <w:bCs/>
          <w:iCs/>
          <w:color w:val="000000" w:themeColor="text1"/>
          <w:lang w:val="en-US"/>
        </w:rPr>
      </w:pPr>
    </w:p>
    <w:p w:rsidR="00C26717" w:rsidRDefault="00C26717" w:rsidP="00C26717">
      <w:pPr>
        <w:pStyle w:val="Caption"/>
      </w:pPr>
      <w:r>
        <w:lastRenderedPageBreak/>
        <w:t xml:space="preserve">Table </w:t>
      </w:r>
      <w:fldSimple w:instr=" SEQ Table \* ARABIC ">
        <w:r w:rsidR="00B25544">
          <w:rPr>
            <w:noProof/>
          </w:rPr>
          <w:t>6</w:t>
        </w:r>
      </w:fldSimple>
      <w:r>
        <w:t xml:space="preserve">: </w:t>
      </w:r>
      <w:r w:rsidRPr="00410D66">
        <w:t>Population change 2013 to 2029 by five year age bands – Chichester</w:t>
      </w:r>
    </w:p>
    <w:p w:rsidR="001F62F6" w:rsidRPr="001F62F6" w:rsidRDefault="001F62F6" w:rsidP="001F62F6">
      <w:pPr>
        <w:pStyle w:val="ListNumber"/>
        <w:numPr>
          <w:ilvl w:val="0"/>
          <w:numId w:val="0"/>
        </w:numPr>
        <w:spacing w:after="0"/>
        <w:ind w:left="425" w:hanging="425"/>
        <w:rPr>
          <w:b/>
          <w:bCs/>
          <w:iCs/>
          <w:color w:val="000000" w:themeColor="text1"/>
          <w:lang w:val="en-US"/>
        </w:rPr>
      </w:pPr>
      <w:r w:rsidRPr="001F62F6">
        <w:rPr>
          <w:b/>
          <w:bCs/>
          <w:iCs/>
          <w:noProof/>
          <w:color w:val="000000" w:themeColor="text1"/>
          <w:lang w:eastAsia="en-GB"/>
        </w:rPr>
        <w:drawing>
          <wp:inline distT="0" distB="0" distL="0" distR="0" wp14:anchorId="0D006516" wp14:editId="6332C273">
            <wp:extent cx="4249712" cy="253447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ANtbl3.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249719" cy="2534482"/>
                    </a:xfrm>
                    <a:prstGeom prst="rect">
                      <a:avLst/>
                    </a:prstGeom>
                  </pic:spPr>
                </pic:pic>
              </a:graphicData>
            </a:graphic>
          </wp:inline>
        </w:drawing>
      </w:r>
    </w:p>
    <w:p w:rsidR="00C30280" w:rsidRPr="001F62F6" w:rsidRDefault="001F62F6" w:rsidP="001F62F6">
      <w:pPr>
        <w:pStyle w:val="ListNumber"/>
        <w:numPr>
          <w:ilvl w:val="0"/>
          <w:numId w:val="0"/>
        </w:numPr>
        <w:spacing w:after="0"/>
        <w:ind w:left="425" w:hanging="425"/>
        <w:rPr>
          <w:bCs/>
          <w:i/>
          <w:iCs/>
          <w:color w:val="000000" w:themeColor="text1"/>
          <w:lang w:val="en-US"/>
        </w:rPr>
      </w:pPr>
      <w:r w:rsidRPr="001F62F6">
        <w:rPr>
          <w:bCs/>
          <w:i/>
          <w:iCs/>
          <w:color w:val="000000" w:themeColor="text1"/>
          <w:lang w:val="en-US"/>
        </w:rPr>
        <w:t>Source: ONS</w:t>
      </w:r>
    </w:p>
    <w:p w:rsidR="001F62F6" w:rsidRPr="00C16620" w:rsidRDefault="001F62F6" w:rsidP="0028000E">
      <w:pPr>
        <w:pStyle w:val="ListNumber"/>
        <w:numPr>
          <w:ilvl w:val="0"/>
          <w:numId w:val="0"/>
        </w:numPr>
        <w:ind w:left="425" w:hanging="425"/>
        <w:rPr>
          <w:bCs/>
          <w:iCs/>
          <w:color w:val="000000" w:themeColor="text1"/>
          <w:lang w:val="en-US"/>
        </w:rPr>
      </w:pPr>
    </w:p>
    <w:p w:rsidR="001F62F6" w:rsidRPr="009149D7" w:rsidRDefault="00C16620" w:rsidP="009149D7">
      <w:pPr>
        <w:pStyle w:val="ListNumber"/>
        <w:rPr>
          <w:lang w:val="en-US"/>
        </w:rPr>
      </w:pPr>
      <w:r w:rsidRPr="00C16620">
        <w:rPr>
          <w:lang w:val="en-US"/>
        </w:rPr>
        <w:t xml:space="preserve">Bringing together our findings relating to age structure, the NPA already has a strong representation of those falling into older age categories, with 42% aged 65+ at the time of the last Census; it also shows an under-representation of those aged under 44, with large disparities with </w:t>
      </w:r>
      <w:r w:rsidR="005F5CF8">
        <w:rPr>
          <w:lang w:val="en-US"/>
        </w:rPr>
        <w:t>District</w:t>
      </w:r>
      <w:r w:rsidRPr="00C16620">
        <w:rPr>
          <w:lang w:val="en-US"/>
        </w:rPr>
        <w:t xml:space="preserve"> and national geographies. Using </w:t>
      </w:r>
      <w:r w:rsidR="005F5CF8">
        <w:rPr>
          <w:lang w:val="en-US"/>
        </w:rPr>
        <w:t>District</w:t>
      </w:r>
      <w:r w:rsidRPr="00C16620">
        <w:rPr>
          <w:lang w:val="en-US"/>
        </w:rPr>
        <w:t xml:space="preserve"> level data as a guide to future trends, these characteristics are likely to become more pronounced over the </w:t>
      </w:r>
      <w:r w:rsidR="000375DA">
        <w:rPr>
          <w:lang w:val="en-US"/>
        </w:rPr>
        <w:t>Plan period</w:t>
      </w:r>
      <w:r w:rsidRPr="00C16620">
        <w:rPr>
          <w:lang w:val="en-US"/>
        </w:rPr>
        <w:t xml:space="preserve">. The </w:t>
      </w:r>
      <w:r w:rsidR="005F5CF8">
        <w:rPr>
          <w:lang w:val="en-US"/>
        </w:rPr>
        <w:t>District</w:t>
      </w:r>
      <w:r w:rsidRPr="00C16620">
        <w:rPr>
          <w:lang w:val="en-US"/>
        </w:rPr>
        <w:t xml:space="preserve"> data shows a substantial increase in the population of those aged 65+; given the population of the NPA already exhibits a strongly aging population, a reasonable conclusion would be that trends forecast for the </w:t>
      </w:r>
      <w:r w:rsidR="005F5CF8">
        <w:rPr>
          <w:lang w:val="en-US"/>
        </w:rPr>
        <w:t>District</w:t>
      </w:r>
      <w:r w:rsidRPr="00C16620">
        <w:rPr>
          <w:lang w:val="en-US"/>
        </w:rPr>
        <w:t xml:space="preserve"> are likely to be more extreme in West </w:t>
      </w:r>
      <w:proofErr w:type="spellStart"/>
      <w:r w:rsidRPr="00C16620">
        <w:rPr>
          <w:lang w:val="en-US"/>
        </w:rPr>
        <w:t>Wittering</w:t>
      </w:r>
      <w:proofErr w:type="spellEnd"/>
      <w:r w:rsidRPr="00C16620">
        <w:rPr>
          <w:lang w:val="en-US"/>
        </w:rPr>
        <w:t xml:space="preserve">. </w:t>
      </w:r>
    </w:p>
    <w:p w:rsidR="00C16620" w:rsidRPr="009149D7" w:rsidRDefault="00C16620" w:rsidP="009149D7">
      <w:pPr>
        <w:pStyle w:val="Heading2"/>
        <w:rPr>
          <w:lang w:val="en-US"/>
        </w:rPr>
      </w:pPr>
      <w:bookmarkStart w:id="101" w:name="_Toc504464740"/>
      <w:r w:rsidRPr="009149D7">
        <w:rPr>
          <w:lang w:val="en-US"/>
        </w:rPr>
        <w:t>Household composition</w:t>
      </w:r>
      <w:bookmarkEnd w:id="101"/>
    </w:p>
    <w:p w:rsidR="008F3BE0" w:rsidRPr="008F3BE0" w:rsidRDefault="009149D7" w:rsidP="009149D7">
      <w:pPr>
        <w:pStyle w:val="ListNumber"/>
        <w:rPr>
          <w:lang w:val="en-US"/>
        </w:rPr>
      </w:pPr>
      <w:r>
        <w:rPr>
          <w:lang w:val="en-US"/>
        </w:rPr>
        <w:t>In Table 7</w:t>
      </w:r>
      <w:r w:rsidR="008F3BE0" w:rsidRPr="008F3BE0">
        <w:rPr>
          <w:lang w:val="en-US"/>
        </w:rPr>
        <w:t xml:space="preserve"> below we present data relating to household composition; the proportion of the population </w:t>
      </w:r>
      <w:r w:rsidR="006C05E0">
        <w:rPr>
          <w:lang w:val="en-US"/>
        </w:rPr>
        <w:t>who reported living</w:t>
      </w:r>
      <w:r w:rsidR="008F3BE0" w:rsidRPr="008F3BE0">
        <w:rPr>
          <w:lang w:val="en-US"/>
        </w:rPr>
        <w:t xml:space="preserve"> alone in West </w:t>
      </w:r>
      <w:proofErr w:type="spellStart"/>
      <w:r w:rsidR="008F3BE0" w:rsidRPr="008F3BE0">
        <w:rPr>
          <w:lang w:val="en-US"/>
        </w:rPr>
        <w:t>Wittering</w:t>
      </w:r>
      <w:proofErr w:type="spellEnd"/>
      <w:r w:rsidR="008F3BE0" w:rsidRPr="008F3BE0">
        <w:rPr>
          <w:lang w:val="en-US"/>
        </w:rPr>
        <w:t xml:space="preserve"> </w:t>
      </w:r>
      <w:r w:rsidR="006C05E0">
        <w:rPr>
          <w:lang w:val="en-US"/>
        </w:rPr>
        <w:t xml:space="preserve">in 2011 was 37.5%, a figure that </w:t>
      </w:r>
      <w:r w:rsidR="008F3BE0" w:rsidRPr="008F3BE0">
        <w:rPr>
          <w:lang w:val="en-US"/>
        </w:rPr>
        <w:t xml:space="preserve">exceeds the </w:t>
      </w:r>
      <w:r w:rsidR="005F5CF8">
        <w:rPr>
          <w:lang w:val="en-US"/>
        </w:rPr>
        <w:t>District</w:t>
      </w:r>
      <w:r w:rsidR="008F3BE0" w:rsidRPr="008F3BE0">
        <w:rPr>
          <w:lang w:val="en-US"/>
        </w:rPr>
        <w:t xml:space="preserve"> by 5.5%. The large older population </w:t>
      </w:r>
      <w:r w:rsidR="006C05E0">
        <w:rPr>
          <w:lang w:val="en-US"/>
        </w:rPr>
        <w:t xml:space="preserve">seen in our examination of age structure </w:t>
      </w:r>
      <w:r w:rsidR="008F3BE0" w:rsidRPr="008F3BE0">
        <w:rPr>
          <w:lang w:val="en-US"/>
        </w:rPr>
        <w:t xml:space="preserve">is also picked up in data relating to household composition with </w:t>
      </w:r>
      <w:r w:rsidR="008F3BE0">
        <w:rPr>
          <w:lang w:val="en-US"/>
        </w:rPr>
        <w:t xml:space="preserve">a substantially larger proportion of both one-person and family households being aged 65 or over. </w:t>
      </w:r>
      <w:r w:rsidR="00CC200D">
        <w:rPr>
          <w:lang w:val="en-US"/>
        </w:rPr>
        <w:t>It is also notable that a substantially lower proportion of family households have dependent children, again suggesting a high</w:t>
      </w:r>
      <w:r w:rsidR="006C05E0">
        <w:rPr>
          <w:lang w:val="en-US"/>
        </w:rPr>
        <w:t>er</w:t>
      </w:r>
      <w:r w:rsidR="00CC200D">
        <w:rPr>
          <w:lang w:val="en-US"/>
        </w:rPr>
        <w:t xml:space="preserve"> representation </w:t>
      </w:r>
      <w:r w:rsidR="006C05E0">
        <w:rPr>
          <w:lang w:val="en-US"/>
        </w:rPr>
        <w:t xml:space="preserve">than the </w:t>
      </w:r>
      <w:r w:rsidR="005F5CF8">
        <w:rPr>
          <w:lang w:val="en-US"/>
        </w:rPr>
        <w:t>District</w:t>
      </w:r>
      <w:r w:rsidR="006C05E0">
        <w:rPr>
          <w:lang w:val="en-US"/>
        </w:rPr>
        <w:t xml:space="preserve"> </w:t>
      </w:r>
      <w:r w:rsidR="00CC200D">
        <w:rPr>
          <w:lang w:val="en-US"/>
        </w:rPr>
        <w:t xml:space="preserve">of ‘empty-nesters.’  </w:t>
      </w:r>
    </w:p>
    <w:p w:rsidR="009149D7" w:rsidRDefault="009149D7" w:rsidP="009149D7">
      <w:pPr>
        <w:pStyle w:val="Caption"/>
      </w:pPr>
      <w:r>
        <w:t xml:space="preserve">Table </w:t>
      </w:r>
      <w:fldSimple w:instr=" SEQ Table \* ARABIC ">
        <w:r w:rsidR="00B25544">
          <w:rPr>
            <w:noProof/>
          </w:rPr>
          <w:t>7</w:t>
        </w:r>
      </w:fldSimple>
      <w:r>
        <w:t xml:space="preserve">: </w:t>
      </w:r>
      <w:r w:rsidRPr="0039634F">
        <w:t>Household composition (by household) in West Wittering, 2011</w:t>
      </w:r>
    </w:p>
    <w:tbl>
      <w:tblPr>
        <w:tblW w:w="9260" w:type="dxa"/>
        <w:tblInd w:w="98" w:type="dxa"/>
        <w:tblLook w:val="04A0" w:firstRow="1" w:lastRow="0" w:firstColumn="1" w:lastColumn="0" w:noHBand="0" w:noVBand="1"/>
      </w:tblPr>
      <w:tblGrid>
        <w:gridCol w:w="2440"/>
        <w:gridCol w:w="2300"/>
        <w:gridCol w:w="1400"/>
        <w:gridCol w:w="1720"/>
        <w:gridCol w:w="1400"/>
      </w:tblGrid>
      <w:tr w:rsidR="008F3BE0" w:rsidRPr="008F3BE0" w:rsidTr="008F3BE0">
        <w:trPr>
          <w:trHeight w:val="240"/>
        </w:trPr>
        <w:tc>
          <w:tcPr>
            <w:tcW w:w="2440"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8F3BE0" w:rsidRPr="008F3BE0" w:rsidRDefault="008F3BE0" w:rsidP="008F3BE0">
            <w:pPr>
              <w:tabs>
                <w:tab w:val="clear" w:pos="284"/>
              </w:tabs>
              <w:spacing w:line="240" w:lineRule="auto"/>
              <w:rPr>
                <w:rFonts w:ascii="Arial" w:eastAsia="Times New Roman" w:hAnsi="Arial" w:cs="Arial"/>
                <w:b/>
                <w:bCs/>
                <w:color w:val="000000"/>
                <w:kern w:val="0"/>
                <w:lang w:eastAsia="en-GB"/>
              </w:rPr>
            </w:pPr>
            <w:r w:rsidRPr="008F3BE0">
              <w:rPr>
                <w:rFonts w:ascii="Arial" w:eastAsia="Times New Roman" w:hAnsi="Arial" w:cs="Arial"/>
                <w:b/>
                <w:bCs/>
                <w:color w:val="000000"/>
                <w:kern w:val="0"/>
                <w:lang w:eastAsia="en-GB"/>
              </w:rPr>
              <w:t> </w:t>
            </w:r>
          </w:p>
        </w:tc>
        <w:tc>
          <w:tcPr>
            <w:tcW w:w="2300" w:type="dxa"/>
            <w:tcBorders>
              <w:top w:val="single" w:sz="8" w:space="0" w:color="auto"/>
              <w:left w:val="nil"/>
              <w:bottom w:val="single" w:sz="4" w:space="0" w:color="auto"/>
              <w:right w:val="single" w:sz="4" w:space="0" w:color="auto"/>
            </w:tcBorders>
            <w:shd w:val="clear" w:color="auto" w:fill="auto"/>
            <w:noWrap/>
            <w:vAlign w:val="bottom"/>
            <w:hideMark/>
          </w:tcPr>
          <w:p w:rsidR="008F3BE0" w:rsidRPr="008F3BE0" w:rsidRDefault="008F3BE0" w:rsidP="008F3BE0">
            <w:pPr>
              <w:tabs>
                <w:tab w:val="clear" w:pos="284"/>
              </w:tabs>
              <w:spacing w:line="240" w:lineRule="auto"/>
              <w:rPr>
                <w:rFonts w:ascii="Arial" w:eastAsia="Times New Roman" w:hAnsi="Arial" w:cs="Arial"/>
                <w:b/>
                <w:bCs/>
                <w:color w:val="000000"/>
                <w:kern w:val="0"/>
                <w:lang w:eastAsia="en-GB"/>
              </w:rPr>
            </w:pPr>
            <w:r w:rsidRPr="008F3BE0">
              <w:rPr>
                <w:rFonts w:ascii="Arial" w:eastAsia="Times New Roman" w:hAnsi="Arial" w:cs="Arial"/>
                <w:b/>
                <w:bCs/>
                <w:color w:val="000000"/>
                <w:kern w:val="0"/>
                <w:lang w:eastAsia="en-GB"/>
              </w:rPr>
              <w:t> </w:t>
            </w:r>
          </w:p>
        </w:tc>
        <w:tc>
          <w:tcPr>
            <w:tcW w:w="1400" w:type="dxa"/>
            <w:tcBorders>
              <w:top w:val="single" w:sz="8" w:space="0" w:color="auto"/>
              <w:left w:val="nil"/>
              <w:bottom w:val="single" w:sz="4" w:space="0" w:color="auto"/>
              <w:right w:val="single" w:sz="4" w:space="0" w:color="auto"/>
            </w:tcBorders>
            <w:shd w:val="clear" w:color="auto" w:fill="auto"/>
            <w:noWrap/>
            <w:vAlign w:val="bottom"/>
            <w:hideMark/>
          </w:tcPr>
          <w:p w:rsidR="008F3BE0" w:rsidRPr="008F3BE0" w:rsidRDefault="008F3BE0" w:rsidP="008F3BE0">
            <w:pPr>
              <w:tabs>
                <w:tab w:val="clear" w:pos="284"/>
              </w:tabs>
              <w:spacing w:line="240" w:lineRule="auto"/>
              <w:rPr>
                <w:rFonts w:ascii="Arial" w:eastAsia="Times New Roman" w:hAnsi="Arial" w:cs="Arial"/>
                <w:b/>
                <w:bCs/>
                <w:color w:val="000000"/>
                <w:kern w:val="0"/>
                <w:lang w:eastAsia="en-GB"/>
              </w:rPr>
            </w:pPr>
            <w:r w:rsidRPr="008F3BE0">
              <w:rPr>
                <w:rFonts w:ascii="Arial" w:eastAsia="Times New Roman" w:hAnsi="Arial" w:cs="Arial"/>
                <w:b/>
                <w:bCs/>
                <w:color w:val="000000"/>
                <w:kern w:val="0"/>
                <w:lang w:eastAsia="en-GB"/>
              </w:rPr>
              <w:t>West Wittering</w:t>
            </w:r>
          </w:p>
        </w:tc>
        <w:tc>
          <w:tcPr>
            <w:tcW w:w="1720" w:type="dxa"/>
            <w:tcBorders>
              <w:top w:val="single" w:sz="8" w:space="0" w:color="auto"/>
              <w:left w:val="nil"/>
              <w:bottom w:val="single" w:sz="4" w:space="0" w:color="auto"/>
              <w:right w:val="single" w:sz="4" w:space="0" w:color="auto"/>
            </w:tcBorders>
            <w:shd w:val="clear" w:color="auto" w:fill="auto"/>
            <w:noWrap/>
            <w:vAlign w:val="bottom"/>
            <w:hideMark/>
          </w:tcPr>
          <w:p w:rsidR="008F3BE0" w:rsidRPr="008F3BE0" w:rsidRDefault="008F3BE0" w:rsidP="008F3BE0">
            <w:pPr>
              <w:tabs>
                <w:tab w:val="clear" w:pos="284"/>
              </w:tabs>
              <w:spacing w:line="240" w:lineRule="auto"/>
              <w:rPr>
                <w:rFonts w:ascii="Arial" w:eastAsia="Times New Roman" w:hAnsi="Arial" w:cs="Arial"/>
                <w:b/>
                <w:bCs/>
                <w:color w:val="000000"/>
                <w:kern w:val="0"/>
                <w:lang w:eastAsia="en-GB"/>
              </w:rPr>
            </w:pPr>
            <w:r w:rsidRPr="008F3BE0">
              <w:rPr>
                <w:rFonts w:ascii="Arial" w:eastAsia="Times New Roman" w:hAnsi="Arial" w:cs="Arial"/>
                <w:b/>
                <w:bCs/>
                <w:color w:val="000000"/>
                <w:kern w:val="0"/>
                <w:lang w:eastAsia="en-GB"/>
              </w:rPr>
              <w:t>Chichester</w:t>
            </w:r>
          </w:p>
        </w:tc>
        <w:tc>
          <w:tcPr>
            <w:tcW w:w="1400" w:type="dxa"/>
            <w:tcBorders>
              <w:top w:val="single" w:sz="8" w:space="0" w:color="auto"/>
              <w:left w:val="nil"/>
              <w:bottom w:val="single" w:sz="4" w:space="0" w:color="auto"/>
              <w:right w:val="single" w:sz="8" w:space="0" w:color="auto"/>
            </w:tcBorders>
            <w:shd w:val="clear" w:color="auto" w:fill="auto"/>
            <w:noWrap/>
            <w:vAlign w:val="bottom"/>
            <w:hideMark/>
          </w:tcPr>
          <w:p w:rsidR="008F3BE0" w:rsidRPr="008F3BE0" w:rsidRDefault="008F3BE0" w:rsidP="008F3BE0">
            <w:pPr>
              <w:tabs>
                <w:tab w:val="clear" w:pos="284"/>
              </w:tabs>
              <w:spacing w:line="240" w:lineRule="auto"/>
              <w:rPr>
                <w:rFonts w:ascii="Arial" w:eastAsia="Times New Roman" w:hAnsi="Arial" w:cs="Arial"/>
                <w:b/>
                <w:bCs/>
                <w:color w:val="000000"/>
                <w:kern w:val="0"/>
                <w:lang w:eastAsia="en-GB"/>
              </w:rPr>
            </w:pPr>
            <w:r w:rsidRPr="008F3BE0">
              <w:rPr>
                <w:rFonts w:ascii="Arial" w:eastAsia="Times New Roman" w:hAnsi="Arial" w:cs="Arial"/>
                <w:b/>
                <w:bCs/>
                <w:color w:val="000000"/>
                <w:kern w:val="0"/>
                <w:lang w:eastAsia="en-GB"/>
              </w:rPr>
              <w:t>England</w:t>
            </w:r>
          </w:p>
        </w:tc>
      </w:tr>
      <w:tr w:rsidR="008F3BE0" w:rsidRPr="008F3BE0" w:rsidTr="008F3BE0">
        <w:trPr>
          <w:trHeight w:val="228"/>
        </w:trPr>
        <w:tc>
          <w:tcPr>
            <w:tcW w:w="2440" w:type="dxa"/>
            <w:tcBorders>
              <w:top w:val="nil"/>
              <w:left w:val="single" w:sz="8" w:space="0" w:color="auto"/>
              <w:bottom w:val="single" w:sz="4" w:space="0" w:color="auto"/>
              <w:right w:val="single" w:sz="4" w:space="0" w:color="auto"/>
            </w:tcBorders>
            <w:shd w:val="clear" w:color="auto" w:fill="auto"/>
            <w:noWrap/>
            <w:vAlign w:val="bottom"/>
            <w:hideMark/>
          </w:tcPr>
          <w:p w:rsidR="008F3BE0" w:rsidRPr="008F3BE0" w:rsidRDefault="008F3BE0" w:rsidP="008F3BE0">
            <w:pPr>
              <w:tabs>
                <w:tab w:val="clear" w:pos="284"/>
              </w:tabs>
              <w:spacing w:line="240" w:lineRule="auto"/>
              <w:rPr>
                <w:rFonts w:ascii="Arial" w:eastAsia="Times New Roman" w:hAnsi="Arial" w:cs="Arial"/>
                <w:color w:val="000000"/>
                <w:kern w:val="0"/>
                <w:lang w:eastAsia="en-GB"/>
              </w:rPr>
            </w:pPr>
            <w:r w:rsidRPr="008F3BE0">
              <w:rPr>
                <w:rFonts w:ascii="Arial" w:eastAsia="Times New Roman" w:hAnsi="Arial" w:cs="Arial"/>
                <w:color w:val="000000"/>
                <w:kern w:val="0"/>
                <w:lang w:eastAsia="en-GB"/>
              </w:rPr>
              <w:t>One person household</w:t>
            </w:r>
          </w:p>
        </w:tc>
        <w:tc>
          <w:tcPr>
            <w:tcW w:w="2300" w:type="dxa"/>
            <w:tcBorders>
              <w:top w:val="nil"/>
              <w:left w:val="nil"/>
              <w:bottom w:val="single" w:sz="4" w:space="0" w:color="auto"/>
              <w:right w:val="single" w:sz="4" w:space="0" w:color="auto"/>
            </w:tcBorders>
            <w:shd w:val="clear" w:color="auto" w:fill="auto"/>
            <w:noWrap/>
            <w:vAlign w:val="bottom"/>
            <w:hideMark/>
          </w:tcPr>
          <w:p w:rsidR="008F3BE0" w:rsidRPr="008F3BE0" w:rsidRDefault="008F3BE0" w:rsidP="008F3BE0">
            <w:pPr>
              <w:tabs>
                <w:tab w:val="clear" w:pos="284"/>
              </w:tabs>
              <w:spacing w:line="240" w:lineRule="auto"/>
              <w:rPr>
                <w:rFonts w:ascii="Arial" w:eastAsia="Times New Roman" w:hAnsi="Arial" w:cs="Arial"/>
                <w:color w:val="000000"/>
                <w:kern w:val="0"/>
                <w:lang w:eastAsia="en-GB"/>
              </w:rPr>
            </w:pPr>
            <w:r w:rsidRPr="008F3BE0">
              <w:rPr>
                <w:rFonts w:ascii="Arial" w:eastAsia="Times New Roman" w:hAnsi="Arial" w:cs="Arial"/>
                <w:color w:val="000000"/>
                <w:kern w:val="0"/>
                <w:lang w:eastAsia="en-GB"/>
              </w:rPr>
              <w:t>Total</w:t>
            </w:r>
          </w:p>
        </w:tc>
        <w:tc>
          <w:tcPr>
            <w:tcW w:w="1400" w:type="dxa"/>
            <w:tcBorders>
              <w:top w:val="nil"/>
              <w:left w:val="nil"/>
              <w:bottom w:val="single" w:sz="4" w:space="0" w:color="auto"/>
              <w:right w:val="single" w:sz="4" w:space="0" w:color="auto"/>
            </w:tcBorders>
            <w:shd w:val="clear" w:color="auto" w:fill="auto"/>
            <w:noWrap/>
            <w:vAlign w:val="bottom"/>
            <w:hideMark/>
          </w:tcPr>
          <w:p w:rsidR="008F3BE0" w:rsidRPr="008F3BE0" w:rsidRDefault="008F3BE0" w:rsidP="008F3BE0">
            <w:pPr>
              <w:tabs>
                <w:tab w:val="clear" w:pos="284"/>
              </w:tabs>
              <w:spacing w:line="240" w:lineRule="auto"/>
              <w:jc w:val="right"/>
              <w:rPr>
                <w:rFonts w:ascii="Arial" w:eastAsia="Times New Roman" w:hAnsi="Arial" w:cs="Arial"/>
                <w:color w:val="000000"/>
                <w:kern w:val="0"/>
                <w:lang w:eastAsia="en-GB"/>
              </w:rPr>
            </w:pPr>
            <w:r w:rsidRPr="008F3BE0">
              <w:rPr>
                <w:rFonts w:ascii="Arial" w:eastAsia="Times New Roman" w:hAnsi="Arial" w:cs="Arial"/>
                <w:color w:val="000000"/>
                <w:kern w:val="0"/>
                <w:lang w:eastAsia="en-GB"/>
              </w:rPr>
              <w:t>37.5%</w:t>
            </w:r>
          </w:p>
        </w:tc>
        <w:tc>
          <w:tcPr>
            <w:tcW w:w="1720" w:type="dxa"/>
            <w:tcBorders>
              <w:top w:val="nil"/>
              <w:left w:val="nil"/>
              <w:bottom w:val="single" w:sz="4" w:space="0" w:color="auto"/>
              <w:right w:val="single" w:sz="4" w:space="0" w:color="auto"/>
            </w:tcBorders>
            <w:shd w:val="clear" w:color="auto" w:fill="auto"/>
            <w:noWrap/>
            <w:vAlign w:val="bottom"/>
            <w:hideMark/>
          </w:tcPr>
          <w:p w:rsidR="008F3BE0" w:rsidRPr="008F3BE0" w:rsidRDefault="008F3BE0" w:rsidP="008F3BE0">
            <w:pPr>
              <w:tabs>
                <w:tab w:val="clear" w:pos="284"/>
              </w:tabs>
              <w:spacing w:line="240" w:lineRule="auto"/>
              <w:jc w:val="right"/>
              <w:rPr>
                <w:rFonts w:ascii="Arial" w:eastAsia="Times New Roman" w:hAnsi="Arial" w:cs="Arial"/>
                <w:color w:val="000000"/>
                <w:kern w:val="0"/>
                <w:lang w:eastAsia="en-GB"/>
              </w:rPr>
            </w:pPr>
            <w:r w:rsidRPr="008F3BE0">
              <w:rPr>
                <w:rFonts w:ascii="Arial" w:eastAsia="Times New Roman" w:hAnsi="Arial" w:cs="Arial"/>
                <w:color w:val="000000"/>
                <w:kern w:val="0"/>
                <w:lang w:eastAsia="en-GB"/>
              </w:rPr>
              <w:t>32.0%</w:t>
            </w:r>
          </w:p>
        </w:tc>
        <w:tc>
          <w:tcPr>
            <w:tcW w:w="1400" w:type="dxa"/>
            <w:tcBorders>
              <w:top w:val="nil"/>
              <w:left w:val="nil"/>
              <w:bottom w:val="single" w:sz="4" w:space="0" w:color="auto"/>
              <w:right w:val="single" w:sz="8" w:space="0" w:color="auto"/>
            </w:tcBorders>
            <w:shd w:val="clear" w:color="auto" w:fill="auto"/>
            <w:noWrap/>
            <w:vAlign w:val="bottom"/>
            <w:hideMark/>
          </w:tcPr>
          <w:p w:rsidR="008F3BE0" w:rsidRPr="008F3BE0" w:rsidRDefault="008F3BE0" w:rsidP="008F3BE0">
            <w:pPr>
              <w:tabs>
                <w:tab w:val="clear" w:pos="284"/>
              </w:tabs>
              <w:spacing w:line="240" w:lineRule="auto"/>
              <w:jc w:val="right"/>
              <w:rPr>
                <w:rFonts w:ascii="Arial" w:eastAsia="Times New Roman" w:hAnsi="Arial" w:cs="Arial"/>
                <w:color w:val="000000"/>
                <w:kern w:val="0"/>
                <w:lang w:eastAsia="en-GB"/>
              </w:rPr>
            </w:pPr>
            <w:r w:rsidRPr="008F3BE0">
              <w:rPr>
                <w:rFonts w:ascii="Arial" w:eastAsia="Times New Roman" w:hAnsi="Arial" w:cs="Arial"/>
                <w:color w:val="000000"/>
                <w:kern w:val="0"/>
                <w:lang w:eastAsia="en-GB"/>
              </w:rPr>
              <w:t>30.2%</w:t>
            </w:r>
          </w:p>
        </w:tc>
      </w:tr>
      <w:tr w:rsidR="008F3BE0" w:rsidRPr="008F3BE0" w:rsidTr="008F3BE0">
        <w:trPr>
          <w:trHeight w:val="228"/>
        </w:trPr>
        <w:tc>
          <w:tcPr>
            <w:tcW w:w="2440" w:type="dxa"/>
            <w:tcBorders>
              <w:top w:val="nil"/>
              <w:left w:val="single" w:sz="8" w:space="0" w:color="auto"/>
              <w:bottom w:val="single" w:sz="4" w:space="0" w:color="auto"/>
              <w:right w:val="single" w:sz="4" w:space="0" w:color="auto"/>
            </w:tcBorders>
            <w:shd w:val="clear" w:color="auto" w:fill="auto"/>
            <w:noWrap/>
            <w:vAlign w:val="bottom"/>
            <w:hideMark/>
          </w:tcPr>
          <w:p w:rsidR="008F3BE0" w:rsidRPr="008F3BE0" w:rsidRDefault="008F3BE0" w:rsidP="008F3BE0">
            <w:pPr>
              <w:tabs>
                <w:tab w:val="clear" w:pos="284"/>
              </w:tabs>
              <w:spacing w:line="240" w:lineRule="auto"/>
              <w:rPr>
                <w:rFonts w:ascii="Arial" w:eastAsia="Times New Roman" w:hAnsi="Arial" w:cs="Arial"/>
                <w:color w:val="000000"/>
                <w:kern w:val="0"/>
                <w:lang w:eastAsia="en-GB"/>
              </w:rPr>
            </w:pPr>
            <w:r w:rsidRPr="008F3BE0">
              <w:rPr>
                <w:rFonts w:ascii="Arial" w:eastAsia="Times New Roman" w:hAnsi="Arial" w:cs="Arial"/>
                <w:color w:val="000000"/>
                <w:kern w:val="0"/>
                <w:lang w:eastAsia="en-GB"/>
              </w:rPr>
              <w:t> </w:t>
            </w:r>
          </w:p>
        </w:tc>
        <w:tc>
          <w:tcPr>
            <w:tcW w:w="2300" w:type="dxa"/>
            <w:tcBorders>
              <w:top w:val="nil"/>
              <w:left w:val="nil"/>
              <w:bottom w:val="single" w:sz="4" w:space="0" w:color="auto"/>
              <w:right w:val="single" w:sz="4" w:space="0" w:color="auto"/>
            </w:tcBorders>
            <w:shd w:val="clear" w:color="auto" w:fill="auto"/>
            <w:noWrap/>
            <w:vAlign w:val="bottom"/>
            <w:hideMark/>
          </w:tcPr>
          <w:p w:rsidR="008F3BE0" w:rsidRPr="008F3BE0" w:rsidRDefault="008F3BE0" w:rsidP="008F3BE0">
            <w:pPr>
              <w:tabs>
                <w:tab w:val="clear" w:pos="284"/>
              </w:tabs>
              <w:spacing w:line="240" w:lineRule="auto"/>
              <w:rPr>
                <w:rFonts w:ascii="Arial" w:eastAsia="Times New Roman" w:hAnsi="Arial" w:cs="Arial"/>
                <w:color w:val="000000"/>
                <w:kern w:val="0"/>
                <w:lang w:eastAsia="en-GB"/>
              </w:rPr>
            </w:pPr>
            <w:r w:rsidRPr="008F3BE0">
              <w:rPr>
                <w:rFonts w:ascii="Arial" w:eastAsia="Times New Roman" w:hAnsi="Arial" w:cs="Arial"/>
                <w:color w:val="000000"/>
                <w:kern w:val="0"/>
                <w:lang w:eastAsia="en-GB"/>
              </w:rPr>
              <w:t>Aged 65 and over</w:t>
            </w:r>
          </w:p>
        </w:tc>
        <w:tc>
          <w:tcPr>
            <w:tcW w:w="1400" w:type="dxa"/>
            <w:tcBorders>
              <w:top w:val="nil"/>
              <w:left w:val="nil"/>
              <w:bottom w:val="single" w:sz="4" w:space="0" w:color="auto"/>
              <w:right w:val="single" w:sz="4" w:space="0" w:color="auto"/>
            </w:tcBorders>
            <w:shd w:val="clear" w:color="auto" w:fill="auto"/>
            <w:noWrap/>
            <w:vAlign w:val="bottom"/>
            <w:hideMark/>
          </w:tcPr>
          <w:p w:rsidR="008F3BE0" w:rsidRPr="008F3BE0" w:rsidRDefault="008F3BE0" w:rsidP="008F3BE0">
            <w:pPr>
              <w:tabs>
                <w:tab w:val="clear" w:pos="284"/>
              </w:tabs>
              <w:spacing w:line="240" w:lineRule="auto"/>
              <w:jc w:val="right"/>
              <w:rPr>
                <w:rFonts w:ascii="Arial" w:eastAsia="Times New Roman" w:hAnsi="Arial" w:cs="Arial"/>
                <w:color w:val="000000"/>
                <w:kern w:val="0"/>
                <w:lang w:eastAsia="en-GB"/>
              </w:rPr>
            </w:pPr>
            <w:r w:rsidRPr="008F3BE0">
              <w:rPr>
                <w:rFonts w:ascii="Arial" w:eastAsia="Times New Roman" w:hAnsi="Arial" w:cs="Arial"/>
                <w:color w:val="000000"/>
                <w:kern w:val="0"/>
                <w:lang w:eastAsia="en-GB"/>
              </w:rPr>
              <w:t>26.6%</w:t>
            </w:r>
          </w:p>
        </w:tc>
        <w:tc>
          <w:tcPr>
            <w:tcW w:w="1720" w:type="dxa"/>
            <w:tcBorders>
              <w:top w:val="nil"/>
              <w:left w:val="nil"/>
              <w:bottom w:val="single" w:sz="4" w:space="0" w:color="auto"/>
              <w:right w:val="single" w:sz="4" w:space="0" w:color="auto"/>
            </w:tcBorders>
            <w:shd w:val="clear" w:color="auto" w:fill="auto"/>
            <w:noWrap/>
            <w:vAlign w:val="bottom"/>
            <w:hideMark/>
          </w:tcPr>
          <w:p w:rsidR="008F3BE0" w:rsidRPr="008F3BE0" w:rsidRDefault="008F3BE0" w:rsidP="008F3BE0">
            <w:pPr>
              <w:tabs>
                <w:tab w:val="clear" w:pos="284"/>
              </w:tabs>
              <w:spacing w:line="240" w:lineRule="auto"/>
              <w:jc w:val="right"/>
              <w:rPr>
                <w:rFonts w:ascii="Arial" w:eastAsia="Times New Roman" w:hAnsi="Arial" w:cs="Arial"/>
                <w:color w:val="000000"/>
                <w:kern w:val="0"/>
                <w:lang w:eastAsia="en-GB"/>
              </w:rPr>
            </w:pPr>
            <w:r w:rsidRPr="008F3BE0">
              <w:rPr>
                <w:rFonts w:ascii="Arial" w:eastAsia="Times New Roman" w:hAnsi="Arial" w:cs="Arial"/>
                <w:color w:val="000000"/>
                <w:kern w:val="0"/>
                <w:lang w:eastAsia="en-GB"/>
              </w:rPr>
              <w:t>17.3%</w:t>
            </w:r>
          </w:p>
        </w:tc>
        <w:tc>
          <w:tcPr>
            <w:tcW w:w="1400" w:type="dxa"/>
            <w:tcBorders>
              <w:top w:val="nil"/>
              <w:left w:val="nil"/>
              <w:bottom w:val="single" w:sz="4" w:space="0" w:color="auto"/>
              <w:right w:val="single" w:sz="8" w:space="0" w:color="auto"/>
            </w:tcBorders>
            <w:shd w:val="clear" w:color="auto" w:fill="auto"/>
            <w:noWrap/>
            <w:vAlign w:val="bottom"/>
            <w:hideMark/>
          </w:tcPr>
          <w:p w:rsidR="008F3BE0" w:rsidRPr="008F3BE0" w:rsidRDefault="008F3BE0" w:rsidP="008F3BE0">
            <w:pPr>
              <w:tabs>
                <w:tab w:val="clear" w:pos="284"/>
              </w:tabs>
              <w:spacing w:line="240" w:lineRule="auto"/>
              <w:jc w:val="right"/>
              <w:rPr>
                <w:rFonts w:ascii="Arial" w:eastAsia="Times New Roman" w:hAnsi="Arial" w:cs="Arial"/>
                <w:color w:val="000000"/>
                <w:kern w:val="0"/>
                <w:lang w:eastAsia="en-GB"/>
              </w:rPr>
            </w:pPr>
            <w:r w:rsidRPr="008F3BE0">
              <w:rPr>
                <w:rFonts w:ascii="Arial" w:eastAsia="Times New Roman" w:hAnsi="Arial" w:cs="Arial"/>
                <w:color w:val="000000"/>
                <w:kern w:val="0"/>
                <w:lang w:eastAsia="en-GB"/>
              </w:rPr>
              <w:t>12.4%</w:t>
            </w:r>
          </w:p>
        </w:tc>
      </w:tr>
      <w:tr w:rsidR="008F3BE0" w:rsidRPr="008F3BE0" w:rsidTr="008F3BE0">
        <w:trPr>
          <w:trHeight w:val="228"/>
        </w:trPr>
        <w:tc>
          <w:tcPr>
            <w:tcW w:w="2440" w:type="dxa"/>
            <w:tcBorders>
              <w:top w:val="nil"/>
              <w:left w:val="single" w:sz="8" w:space="0" w:color="auto"/>
              <w:bottom w:val="single" w:sz="4" w:space="0" w:color="auto"/>
              <w:right w:val="single" w:sz="4" w:space="0" w:color="auto"/>
            </w:tcBorders>
            <w:shd w:val="clear" w:color="auto" w:fill="auto"/>
            <w:noWrap/>
            <w:vAlign w:val="bottom"/>
            <w:hideMark/>
          </w:tcPr>
          <w:p w:rsidR="008F3BE0" w:rsidRPr="008F3BE0" w:rsidRDefault="008F3BE0" w:rsidP="008F3BE0">
            <w:pPr>
              <w:tabs>
                <w:tab w:val="clear" w:pos="284"/>
              </w:tabs>
              <w:spacing w:line="240" w:lineRule="auto"/>
              <w:rPr>
                <w:rFonts w:ascii="Arial" w:eastAsia="Times New Roman" w:hAnsi="Arial" w:cs="Arial"/>
                <w:color w:val="000000"/>
                <w:kern w:val="0"/>
                <w:lang w:eastAsia="en-GB"/>
              </w:rPr>
            </w:pPr>
            <w:r w:rsidRPr="008F3BE0">
              <w:rPr>
                <w:rFonts w:ascii="Arial" w:eastAsia="Times New Roman" w:hAnsi="Arial" w:cs="Arial"/>
                <w:color w:val="000000"/>
                <w:kern w:val="0"/>
                <w:lang w:eastAsia="en-GB"/>
              </w:rPr>
              <w:t> </w:t>
            </w:r>
          </w:p>
        </w:tc>
        <w:tc>
          <w:tcPr>
            <w:tcW w:w="2300" w:type="dxa"/>
            <w:tcBorders>
              <w:top w:val="nil"/>
              <w:left w:val="nil"/>
              <w:bottom w:val="single" w:sz="4" w:space="0" w:color="auto"/>
              <w:right w:val="single" w:sz="4" w:space="0" w:color="auto"/>
            </w:tcBorders>
            <w:shd w:val="clear" w:color="auto" w:fill="auto"/>
            <w:noWrap/>
            <w:vAlign w:val="bottom"/>
            <w:hideMark/>
          </w:tcPr>
          <w:p w:rsidR="008F3BE0" w:rsidRPr="008F3BE0" w:rsidRDefault="008F3BE0" w:rsidP="008F3BE0">
            <w:pPr>
              <w:tabs>
                <w:tab w:val="clear" w:pos="284"/>
              </w:tabs>
              <w:spacing w:line="240" w:lineRule="auto"/>
              <w:rPr>
                <w:rFonts w:ascii="Arial" w:eastAsia="Times New Roman" w:hAnsi="Arial" w:cs="Arial"/>
                <w:color w:val="000000"/>
                <w:kern w:val="0"/>
                <w:lang w:eastAsia="en-GB"/>
              </w:rPr>
            </w:pPr>
            <w:r w:rsidRPr="008F3BE0">
              <w:rPr>
                <w:rFonts w:ascii="Arial" w:eastAsia="Times New Roman" w:hAnsi="Arial" w:cs="Arial"/>
                <w:color w:val="000000"/>
                <w:kern w:val="0"/>
                <w:lang w:eastAsia="en-GB"/>
              </w:rPr>
              <w:t>Other</w:t>
            </w:r>
          </w:p>
        </w:tc>
        <w:tc>
          <w:tcPr>
            <w:tcW w:w="1400" w:type="dxa"/>
            <w:tcBorders>
              <w:top w:val="nil"/>
              <w:left w:val="nil"/>
              <w:bottom w:val="single" w:sz="4" w:space="0" w:color="auto"/>
              <w:right w:val="single" w:sz="4" w:space="0" w:color="auto"/>
            </w:tcBorders>
            <w:shd w:val="clear" w:color="auto" w:fill="auto"/>
            <w:noWrap/>
            <w:vAlign w:val="bottom"/>
            <w:hideMark/>
          </w:tcPr>
          <w:p w:rsidR="008F3BE0" w:rsidRPr="008F3BE0" w:rsidRDefault="008F3BE0" w:rsidP="008F3BE0">
            <w:pPr>
              <w:tabs>
                <w:tab w:val="clear" w:pos="284"/>
              </w:tabs>
              <w:spacing w:line="240" w:lineRule="auto"/>
              <w:jc w:val="right"/>
              <w:rPr>
                <w:rFonts w:ascii="Arial" w:eastAsia="Times New Roman" w:hAnsi="Arial" w:cs="Arial"/>
                <w:color w:val="000000"/>
                <w:kern w:val="0"/>
                <w:lang w:eastAsia="en-GB"/>
              </w:rPr>
            </w:pPr>
            <w:r w:rsidRPr="008F3BE0">
              <w:rPr>
                <w:rFonts w:ascii="Arial" w:eastAsia="Times New Roman" w:hAnsi="Arial" w:cs="Arial"/>
                <w:color w:val="000000"/>
                <w:kern w:val="0"/>
                <w:lang w:eastAsia="en-GB"/>
              </w:rPr>
              <w:t>10.9%</w:t>
            </w:r>
          </w:p>
        </w:tc>
        <w:tc>
          <w:tcPr>
            <w:tcW w:w="1720" w:type="dxa"/>
            <w:tcBorders>
              <w:top w:val="nil"/>
              <w:left w:val="nil"/>
              <w:bottom w:val="single" w:sz="4" w:space="0" w:color="auto"/>
              <w:right w:val="single" w:sz="4" w:space="0" w:color="auto"/>
            </w:tcBorders>
            <w:shd w:val="clear" w:color="auto" w:fill="auto"/>
            <w:noWrap/>
            <w:vAlign w:val="bottom"/>
            <w:hideMark/>
          </w:tcPr>
          <w:p w:rsidR="008F3BE0" w:rsidRPr="008F3BE0" w:rsidRDefault="008F3BE0" w:rsidP="008F3BE0">
            <w:pPr>
              <w:tabs>
                <w:tab w:val="clear" w:pos="284"/>
              </w:tabs>
              <w:spacing w:line="240" w:lineRule="auto"/>
              <w:jc w:val="right"/>
              <w:rPr>
                <w:rFonts w:ascii="Arial" w:eastAsia="Times New Roman" w:hAnsi="Arial" w:cs="Arial"/>
                <w:color w:val="000000"/>
                <w:kern w:val="0"/>
                <w:lang w:eastAsia="en-GB"/>
              </w:rPr>
            </w:pPr>
            <w:r w:rsidRPr="008F3BE0">
              <w:rPr>
                <w:rFonts w:ascii="Arial" w:eastAsia="Times New Roman" w:hAnsi="Arial" w:cs="Arial"/>
                <w:color w:val="000000"/>
                <w:kern w:val="0"/>
                <w:lang w:eastAsia="en-GB"/>
              </w:rPr>
              <w:t>14.7%</w:t>
            </w:r>
          </w:p>
        </w:tc>
        <w:tc>
          <w:tcPr>
            <w:tcW w:w="1400" w:type="dxa"/>
            <w:tcBorders>
              <w:top w:val="nil"/>
              <w:left w:val="nil"/>
              <w:bottom w:val="single" w:sz="4" w:space="0" w:color="auto"/>
              <w:right w:val="single" w:sz="8" w:space="0" w:color="auto"/>
            </w:tcBorders>
            <w:shd w:val="clear" w:color="auto" w:fill="auto"/>
            <w:noWrap/>
            <w:vAlign w:val="bottom"/>
            <w:hideMark/>
          </w:tcPr>
          <w:p w:rsidR="008F3BE0" w:rsidRPr="008F3BE0" w:rsidRDefault="008F3BE0" w:rsidP="008F3BE0">
            <w:pPr>
              <w:tabs>
                <w:tab w:val="clear" w:pos="284"/>
              </w:tabs>
              <w:spacing w:line="240" w:lineRule="auto"/>
              <w:jc w:val="right"/>
              <w:rPr>
                <w:rFonts w:ascii="Arial" w:eastAsia="Times New Roman" w:hAnsi="Arial" w:cs="Arial"/>
                <w:color w:val="000000"/>
                <w:kern w:val="0"/>
                <w:lang w:eastAsia="en-GB"/>
              </w:rPr>
            </w:pPr>
            <w:r w:rsidRPr="008F3BE0">
              <w:rPr>
                <w:rFonts w:ascii="Arial" w:eastAsia="Times New Roman" w:hAnsi="Arial" w:cs="Arial"/>
                <w:color w:val="000000"/>
                <w:kern w:val="0"/>
                <w:lang w:eastAsia="en-GB"/>
              </w:rPr>
              <w:t>17.9%</w:t>
            </w:r>
          </w:p>
        </w:tc>
      </w:tr>
      <w:tr w:rsidR="008F3BE0" w:rsidRPr="008F3BE0" w:rsidTr="008F3BE0">
        <w:trPr>
          <w:trHeight w:val="228"/>
        </w:trPr>
        <w:tc>
          <w:tcPr>
            <w:tcW w:w="2440" w:type="dxa"/>
            <w:tcBorders>
              <w:top w:val="nil"/>
              <w:left w:val="single" w:sz="8" w:space="0" w:color="auto"/>
              <w:bottom w:val="single" w:sz="4" w:space="0" w:color="auto"/>
              <w:right w:val="single" w:sz="4" w:space="0" w:color="auto"/>
            </w:tcBorders>
            <w:shd w:val="clear" w:color="auto" w:fill="auto"/>
            <w:noWrap/>
            <w:vAlign w:val="bottom"/>
            <w:hideMark/>
          </w:tcPr>
          <w:p w:rsidR="008F3BE0" w:rsidRPr="008F3BE0" w:rsidRDefault="008F3BE0" w:rsidP="008F3BE0">
            <w:pPr>
              <w:tabs>
                <w:tab w:val="clear" w:pos="284"/>
              </w:tabs>
              <w:spacing w:line="240" w:lineRule="auto"/>
              <w:rPr>
                <w:rFonts w:ascii="Arial" w:eastAsia="Times New Roman" w:hAnsi="Arial" w:cs="Arial"/>
                <w:color w:val="000000"/>
                <w:kern w:val="0"/>
                <w:lang w:eastAsia="en-GB"/>
              </w:rPr>
            </w:pPr>
            <w:r w:rsidRPr="008F3BE0">
              <w:rPr>
                <w:rFonts w:ascii="Arial" w:eastAsia="Times New Roman" w:hAnsi="Arial" w:cs="Arial"/>
                <w:color w:val="000000"/>
                <w:kern w:val="0"/>
                <w:lang w:eastAsia="en-GB"/>
              </w:rPr>
              <w:t>One family only[1]</w:t>
            </w:r>
          </w:p>
        </w:tc>
        <w:tc>
          <w:tcPr>
            <w:tcW w:w="2300" w:type="dxa"/>
            <w:tcBorders>
              <w:top w:val="nil"/>
              <w:left w:val="nil"/>
              <w:bottom w:val="single" w:sz="4" w:space="0" w:color="auto"/>
              <w:right w:val="single" w:sz="4" w:space="0" w:color="auto"/>
            </w:tcBorders>
            <w:shd w:val="clear" w:color="auto" w:fill="auto"/>
            <w:noWrap/>
            <w:vAlign w:val="bottom"/>
            <w:hideMark/>
          </w:tcPr>
          <w:p w:rsidR="008F3BE0" w:rsidRPr="008F3BE0" w:rsidRDefault="008F3BE0" w:rsidP="008F3BE0">
            <w:pPr>
              <w:tabs>
                <w:tab w:val="clear" w:pos="284"/>
              </w:tabs>
              <w:spacing w:line="240" w:lineRule="auto"/>
              <w:rPr>
                <w:rFonts w:ascii="Arial" w:eastAsia="Times New Roman" w:hAnsi="Arial" w:cs="Arial"/>
                <w:color w:val="000000"/>
                <w:kern w:val="0"/>
                <w:lang w:eastAsia="en-GB"/>
              </w:rPr>
            </w:pPr>
            <w:r w:rsidRPr="008F3BE0">
              <w:rPr>
                <w:rFonts w:ascii="Arial" w:eastAsia="Times New Roman" w:hAnsi="Arial" w:cs="Arial"/>
                <w:color w:val="000000"/>
                <w:kern w:val="0"/>
                <w:lang w:eastAsia="en-GB"/>
              </w:rPr>
              <w:t>Total</w:t>
            </w:r>
          </w:p>
        </w:tc>
        <w:tc>
          <w:tcPr>
            <w:tcW w:w="1400" w:type="dxa"/>
            <w:tcBorders>
              <w:top w:val="nil"/>
              <w:left w:val="nil"/>
              <w:bottom w:val="single" w:sz="4" w:space="0" w:color="auto"/>
              <w:right w:val="single" w:sz="4" w:space="0" w:color="auto"/>
            </w:tcBorders>
            <w:shd w:val="clear" w:color="auto" w:fill="auto"/>
            <w:noWrap/>
            <w:vAlign w:val="bottom"/>
            <w:hideMark/>
          </w:tcPr>
          <w:p w:rsidR="008F3BE0" w:rsidRPr="008F3BE0" w:rsidRDefault="008F3BE0" w:rsidP="008F3BE0">
            <w:pPr>
              <w:tabs>
                <w:tab w:val="clear" w:pos="284"/>
              </w:tabs>
              <w:spacing w:line="240" w:lineRule="auto"/>
              <w:jc w:val="right"/>
              <w:rPr>
                <w:rFonts w:ascii="Arial" w:eastAsia="Times New Roman" w:hAnsi="Arial" w:cs="Arial"/>
                <w:color w:val="000000"/>
                <w:kern w:val="0"/>
                <w:lang w:eastAsia="en-GB"/>
              </w:rPr>
            </w:pPr>
            <w:r w:rsidRPr="008F3BE0">
              <w:rPr>
                <w:rFonts w:ascii="Arial" w:eastAsia="Times New Roman" w:hAnsi="Arial" w:cs="Arial"/>
                <w:color w:val="000000"/>
                <w:kern w:val="0"/>
                <w:lang w:eastAsia="en-GB"/>
              </w:rPr>
              <w:t>58.2%</w:t>
            </w:r>
          </w:p>
        </w:tc>
        <w:tc>
          <w:tcPr>
            <w:tcW w:w="1720" w:type="dxa"/>
            <w:tcBorders>
              <w:top w:val="nil"/>
              <w:left w:val="nil"/>
              <w:bottom w:val="single" w:sz="4" w:space="0" w:color="auto"/>
              <w:right w:val="single" w:sz="4" w:space="0" w:color="auto"/>
            </w:tcBorders>
            <w:shd w:val="clear" w:color="auto" w:fill="auto"/>
            <w:noWrap/>
            <w:vAlign w:val="bottom"/>
            <w:hideMark/>
          </w:tcPr>
          <w:p w:rsidR="008F3BE0" w:rsidRPr="008F3BE0" w:rsidRDefault="008F3BE0" w:rsidP="008F3BE0">
            <w:pPr>
              <w:tabs>
                <w:tab w:val="clear" w:pos="284"/>
              </w:tabs>
              <w:spacing w:line="240" w:lineRule="auto"/>
              <w:jc w:val="right"/>
              <w:rPr>
                <w:rFonts w:ascii="Arial" w:eastAsia="Times New Roman" w:hAnsi="Arial" w:cs="Arial"/>
                <w:color w:val="000000"/>
                <w:kern w:val="0"/>
                <w:lang w:eastAsia="en-GB"/>
              </w:rPr>
            </w:pPr>
            <w:r w:rsidRPr="008F3BE0">
              <w:rPr>
                <w:rFonts w:ascii="Arial" w:eastAsia="Times New Roman" w:hAnsi="Arial" w:cs="Arial"/>
                <w:color w:val="000000"/>
                <w:kern w:val="0"/>
                <w:lang w:eastAsia="en-GB"/>
              </w:rPr>
              <w:t>61.8%</w:t>
            </w:r>
          </w:p>
        </w:tc>
        <w:tc>
          <w:tcPr>
            <w:tcW w:w="1400" w:type="dxa"/>
            <w:tcBorders>
              <w:top w:val="nil"/>
              <w:left w:val="nil"/>
              <w:bottom w:val="single" w:sz="4" w:space="0" w:color="auto"/>
              <w:right w:val="single" w:sz="8" w:space="0" w:color="auto"/>
            </w:tcBorders>
            <w:shd w:val="clear" w:color="auto" w:fill="auto"/>
            <w:noWrap/>
            <w:vAlign w:val="bottom"/>
            <w:hideMark/>
          </w:tcPr>
          <w:p w:rsidR="008F3BE0" w:rsidRPr="008F3BE0" w:rsidRDefault="008F3BE0" w:rsidP="008F3BE0">
            <w:pPr>
              <w:tabs>
                <w:tab w:val="clear" w:pos="284"/>
              </w:tabs>
              <w:spacing w:line="240" w:lineRule="auto"/>
              <w:jc w:val="right"/>
              <w:rPr>
                <w:rFonts w:ascii="Arial" w:eastAsia="Times New Roman" w:hAnsi="Arial" w:cs="Arial"/>
                <w:color w:val="000000"/>
                <w:kern w:val="0"/>
                <w:lang w:eastAsia="en-GB"/>
              </w:rPr>
            </w:pPr>
            <w:r w:rsidRPr="008F3BE0">
              <w:rPr>
                <w:rFonts w:ascii="Arial" w:eastAsia="Times New Roman" w:hAnsi="Arial" w:cs="Arial"/>
                <w:color w:val="000000"/>
                <w:kern w:val="0"/>
                <w:lang w:eastAsia="en-GB"/>
              </w:rPr>
              <w:t>61.8%</w:t>
            </w:r>
          </w:p>
        </w:tc>
      </w:tr>
      <w:tr w:rsidR="008F3BE0" w:rsidRPr="008F3BE0" w:rsidTr="008F3BE0">
        <w:trPr>
          <w:trHeight w:val="228"/>
        </w:trPr>
        <w:tc>
          <w:tcPr>
            <w:tcW w:w="2440" w:type="dxa"/>
            <w:tcBorders>
              <w:top w:val="nil"/>
              <w:left w:val="single" w:sz="8" w:space="0" w:color="auto"/>
              <w:bottom w:val="single" w:sz="4" w:space="0" w:color="auto"/>
              <w:right w:val="single" w:sz="4" w:space="0" w:color="auto"/>
            </w:tcBorders>
            <w:shd w:val="clear" w:color="auto" w:fill="auto"/>
            <w:noWrap/>
            <w:vAlign w:val="bottom"/>
            <w:hideMark/>
          </w:tcPr>
          <w:p w:rsidR="008F3BE0" w:rsidRPr="008F3BE0" w:rsidRDefault="008F3BE0" w:rsidP="008F3BE0">
            <w:pPr>
              <w:tabs>
                <w:tab w:val="clear" w:pos="284"/>
              </w:tabs>
              <w:spacing w:line="240" w:lineRule="auto"/>
              <w:rPr>
                <w:rFonts w:ascii="Arial" w:eastAsia="Times New Roman" w:hAnsi="Arial" w:cs="Arial"/>
                <w:color w:val="000000"/>
                <w:kern w:val="0"/>
                <w:lang w:eastAsia="en-GB"/>
              </w:rPr>
            </w:pPr>
            <w:r w:rsidRPr="008F3BE0">
              <w:rPr>
                <w:rFonts w:ascii="Arial" w:eastAsia="Times New Roman" w:hAnsi="Arial" w:cs="Arial"/>
                <w:color w:val="000000"/>
                <w:kern w:val="0"/>
                <w:lang w:eastAsia="en-GB"/>
              </w:rPr>
              <w:t> </w:t>
            </w:r>
          </w:p>
        </w:tc>
        <w:tc>
          <w:tcPr>
            <w:tcW w:w="2300" w:type="dxa"/>
            <w:tcBorders>
              <w:top w:val="nil"/>
              <w:left w:val="nil"/>
              <w:bottom w:val="single" w:sz="4" w:space="0" w:color="auto"/>
              <w:right w:val="single" w:sz="4" w:space="0" w:color="auto"/>
            </w:tcBorders>
            <w:shd w:val="clear" w:color="auto" w:fill="auto"/>
            <w:noWrap/>
            <w:vAlign w:val="bottom"/>
            <w:hideMark/>
          </w:tcPr>
          <w:p w:rsidR="008F3BE0" w:rsidRPr="008F3BE0" w:rsidRDefault="008F3BE0" w:rsidP="008F3BE0">
            <w:pPr>
              <w:tabs>
                <w:tab w:val="clear" w:pos="284"/>
              </w:tabs>
              <w:spacing w:line="240" w:lineRule="auto"/>
              <w:rPr>
                <w:rFonts w:ascii="Arial" w:eastAsia="Times New Roman" w:hAnsi="Arial" w:cs="Arial"/>
                <w:color w:val="000000"/>
                <w:kern w:val="0"/>
                <w:lang w:eastAsia="en-GB"/>
              </w:rPr>
            </w:pPr>
            <w:r w:rsidRPr="008F3BE0">
              <w:rPr>
                <w:rFonts w:ascii="Arial" w:eastAsia="Times New Roman" w:hAnsi="Arial" w:cs="Arial"/>
                <w:color w:val="000000"/>
                <w:kern w:val="0"/>
                <w:lang w:eastAsia="en-GB"/>
              </w:rPr>
              <w:t>All aged 65 and over</w:t>
            </w:r>
          </w:p>
        </w:tc>
        <w:tc>
          <w:tcPr>
            <w:tcW w:w="1400" w:type="dxa"/>
            <w:tcBorders>
              <w:top w:val="nil"/>
              <w:left w:val="nil"/>
              <w:bottom w:val="single" w:sz="4" w:space="0" w:color="auto"/>
              <w:right w:val="single" w:sz="4" w:space="0" w:color="auto"/>
            </w:tcBorders>
            <w:shd w:val="clear" w:color="auto" w:fill="auto"/>
            <w:noWrap/>
            <w:vAlign w:val="bottom"/>
            <w:hideMark/>
          </w:tcPr>
          <w:p w:rsidR="008F3BE0" w:rsidRPr="008F3BE0" w:rsidRDefault="008F3BE0" w:rsidP="008F3BE0">
            <w:pPr>
              <w:tabs>
                <w:tab w:val="clear" w:pos="284"/>
              </w:tabs>
              <w:spacing w:line="240" w:lineRule="auto"/>
              <w:jc w:val="right"/>
              <w:rPr>
                <w:rFonts w:ascii="Arial" w:eastAsia="Times New Roman" w:hAnsi="Arial" w:cs="Arial"/>
                <w:color w:val="000000"/>
                <w:kern w:val="0"/>
                <w:lang w:eastAsia="en-GB"/>
              </w:rPr>
            </w:pPr>
            <w:r w:rsidRPr="008F3BE0">
              <w:rPr>
                <w:rFonts w:ascii="Arial" w:eastAsia="Times New Roman" w:hAnsi="Arial" w:cs="Arial"/>
                <w:color w:val="000000"/>
                <w:kern w:val="0"/>
                <w:lang w:eastAsia="en-GB"/>
              </w:rPr>
              <w:t>21.3%</w:t>
            </w:r>
          </w:p>
        </w:tc>
        <w:tc>
          <w:tcPr>
            <w:tcW w:w="1720" w:type="dxa"/>
            <w:tcBorders>
              <w:top w:val="nil"/>
              <w:left w:val="nil"/>
              <w:bottom w:val="single" w:sz="4" w:space="0" w:color="auto"/>
              <w:right w:val="single" w:sz="4" w:space="0" w:color="auto"/>
            </w:tcBorders>
            <w:shd w:val="clear" w:color="auto" w:fill="auto"/>
            <w:noWrap/>
            <w:vAlign w:val="bottom"/>
            <w:hideMark/>
          </w:tcPr>
          <w:p w:rsidR="008F3BE0" w:rsidRPr="008F3BE0" w:rsidRDefault="008F3BE0" w:rsidP="008F3BE0">
            <w:pPr>
              <w:tabs>
                <w:tab w:val="clear" w:pos="284"/>
              </w:tabs>
              <w:spacing w:line="240" w:lineRule="auto"/>
              <w:jc w:val="right"/>
              <w:rPr>
                <w:rFonts w:ascii="Arial" w:eastAsia="Times New Roman" w:hAnsi="Arial" w:cs="Arial"/>
                <w:color w:val="000000"/>
                <w:kern w:val="0"/>
                <w:lang w:eastAsia="en-GB"/>
              </w:rPr>
            </w:pPr>
            <w:r w:rsidRPr="008F3BE0">
              <w:rPr>
                <w:rFonts w:ascii="Arial" w:eastAsia="Times New Roman" w:hAnsi="Arial" w:cs="Arial"/>
                <w:color w:val="000000"/>
                <w:kern w:val="0"/>
                <w:lang w:eastAsia="en-GB"/>
              </w:rPr>
              <w:t>12.6%</w:t>
            </w:r>
          </w:p>
        </w:tc>
        <w:tc>
          <w:tcPr>
            <w:tcW w:w="1400" w:type="dxa"/>
            <w:tcBorders>
              <w:top w:val="nil"/>
              <w:left w:val="nil"/>
              <w:bottom w:val="single" w:sz="4" w:space="0" w:color="auto"/>
              <w:right w:val="single" w:sz="8" w:space="0" w:color="auto"/>
            </w:tcBorders>
            <w:shd w:val="clear" w:color="auto" w:fill="auto"/>
            <w:noWrap/>
            <w:vAlign w:val="bottom"/>
            <w:hideMark/>
          </w:tcPr>
          <w:p w:rsidR="008F3BE0" w:rsidRPr="008F3BE0" w:rsidRDefault="008F3BE0" w:rsidP="008F3BE0">
            <w:pPr>
              <w:tabs>
                <w:tab w:val="clear" w:pos="284"/>
              </w:tabs>
              <w:spacing w:line="240" w:lineRule="auto"/>
              <w:jc w:val="right"/>
              <w:rPr>
                <w:rFonts w:ascii="Arial" w:eastAsia="Times New Roman" w:hAnsi="Arial" w:cs="Arial"/>
                <w:color w:val="000000"/>
                <w:kern w:val="0"/>
                <w:lang w:eastAsia="en-GB"/>
              </w:rPr>
            </w:pPr>
            <w:r w:rsidRPr="008F3BE0">
              <w:rPr>
                <w:rFonts w:ascii="Arial" w:eastAsia="Times New Roman" w:hAnsi="Arial" w:cs="Arial"/>
                <w:color w:val="000000"/>
                <w:kern w:val="0"/>
                <w:lang w:eastAsia="en-GB"/>
              </w:rPr>
              <w:t>8.1%</w:t>
            </w:r>
          </w:p>
        </w:tc>
      </w:tr>
      <w:tr w:rsidR="008F3BE0" w:rsidRPr="008F3BE0" w:rsidTr="008F3BE0">
        <w:trPr>
          <w:trHeight w:val="228"/>
        </w:trPr>
        <w:tc>
          <w:tcPr>
            <w:tcW w:w="2440" w:type="dxa"/>
            <w:tcBorders>
              <w:top w:val="nil"/>
              <w:left w:val="single" w:sz="8" w:space="0" w:color="auto"/>
              <w:bottom w:val="single" w:sz="4" w:space="0" w:color="auto"/>
              <w:right w:val="single" w:sz="4" w:space="0" w:color="auto"/>
            </w:tcBorders>
            <w:shd w:val="clear" w:color="auto" w:fill="auto"/>
            <w:noWrap/>
            <w:vAlign w:val="bottom"/>
            <w:hideMark/>
          </w:tcPr>
          <w:p w:rsidR="008F3BE0" w:rsidRPr="008F3BE0" w:rsidRDefault="008F3BE0" w:rsidP="008F3BE0">
            <w:pPr>
              <w:tabs>
                <w:tab w:val="clear" w:pos="284"/>
              </w:tabs>
              <w:spacing w:line="240" w:lineRule="auto"/>
              <w:rPr>
                <w:rFonts w:ascii="Arial" w:eastAsia="Times New Roman" w:hAnsi="Arial" w:cs="Arial"/>
                <w:color w:val="000000"/>
                <w:kern w:val="0"/>
                <w:lang w:eastAsia="en-GB"/>
              </w:rPr>
            </w:pPr>
            <w:r w:rsidRPr="008F3BE0">
              <w:rPr>
                <w:rFonts w:ascii="Arial" w:eastAsia="Times New Roman" w:hAnsi="Arial" w:cs="Arial"/>
                <w:color w:val="000000"/>
                <w:kern w:val="0"/>
                <w:lang w:eastAsia="en-GB"/>
              </w:rPr>
              <w:t> </w:t>
            </w:r>
          </w:p>
        </w:tc>
        <w:tc>
          <w:tcPr>
            <w:tcW w:w="2300" w:type="dxa"/>
            <w:tcBorders>
              <w:top w:val="nil"/>
              <w:left w:val="nil"/>
              <w:bottom w:val="single" w:sz="4" w:space="0" w:color="auto"/>
              <w:right w:val="single" w:sz="4" w:space="0" w:color="auto"/>
            </w:tcBorders>
            <w:shd w:val="clear" w:color="auto" w:fill="auto"/>
            <w:noWrap/>
            <w:vAlign w:val="bottom"/>
            <w:hideMark/>
          </w:tcPr>
          <w:p w:rsidR="008F3BE0" w:rsidRPr="008F3BE0" w:rsidRDefault="008F3BE0" w:rsidP="008F3BE0">
            <w:pPr>
              <w:tabs>
                <w:tab w:val="clear" w:pos="284"/>
              </w:tabs>
              <w:spacing w:line="240" w:lineRule="auto"/>
              <w:rPr>
                <w:rFonts w:ascii="Arial" w:eastAsia="Times New Roman" w:hAnsi="Arial" w:cs="Arial"/>
                <w:color w:val="000000"/>
                <w:kern w:val="0"/>
                <w:lang w:eastAsia="en-GB"/>
              </w:rPr>
            </w:pPr>
            <w:r w:rsidRPr="008F3BE0">
              <w:rPr>
                <w:rFonts w:ascii="Arial" w:eastAsia="Times New Roman" w:hAnsi="Arial" w:cs="Arial"/>
                <w:color w:val="000000"/>
                <w:kern w:val="0"/>
                <w:lang w:eastAsia="en-GB"/>
              </w:rPr>
              <w:t>With no children</w:t>
            </w:r>
          </w:p>
        </w:tc>
        <w:tc>
          <w:tcPr>
            <w:tcW w:w="1400" w:type="dxa"/>
            <w:tcBorders>
              <w:top w:val="nil"/>
              <w:left w:val="nil"/>
              <w:bottom w:val="single" w:sz="4" w:space="0" w:color="auto"/>
              <w:right w:val="single" w:sz="4" w:space="0" w:color="auto"/>
            </w:tcBorders>
            <w:shd w:val="clear" w:color="auto" w:fill="auto"/>
            <w:noWrap/>
            <w:vAlign w:val="bottom"/>
            <w:hideMark/>
          </w:tcPr>
          <w:p w:rsidR="008F3BE0" w:rsidRPr="008F3BE0" w:rsidRDefault="008F3BE0" w:rsidP="008F3BE0">
            <w:pPr>
              <w:tabs>
                <w:tab w:val="clear" w:pos="284"/>
              </w:tabs>
              <w:spacing w:line="240" w:lineRule="auto"/>
              <w:jc w:val="right"/>
              <w:rPr>
                <w:rFonts w:ascii="Arial" w:eastAsia="Times New Roman" w:hAnsi="Arial" w:cs="Arial"/>
                <w:color w:val="000000"/>
                <w:kern w:val="0"/>
                <w:lang w:eastAsia="en-GB"/>
              </w:rPr>
            </w:pPr>
            <w:r w:rsidRPr="008F3BE0">
              <w:rPr>
                <w:rFonts w:ascii="Arial" w:eastAsia="Times New Roman" w:hAnsi="Arial" w:cs="Arial"/>
                <w:color w:val="000000"/>
                <w:kern w:val="0"/>
                <w:lang w:eastAsia="en-GB"/>
              </w:rPr>
              <w:t>15.3%</w:t>
            </w:r>
          </w:p>
        </w:tc>
        <w:tc>
          <w:tcPr>
            <w:tcW w:w="1720" w:type="dxa"/>
            <w:tcBorders>
              <w:top w:val="nil"/>
              <w:left w:val="nil"/>
              <w:bottom w:val="single" w:sz="4" w:space="0" w:color="auto"/>
              <w:right w:val="single" w:sz="4" w:space="0" w:color="auto"/>
            </w:tcBorders>
            <w:shd w:val="clear" w:color="auto" w:fill="auto"/>
            <w:noWrap/>
            <w:vAlign w:val="bottom"/>
            <w:hideMark/>
          </w:tcPr>
          <w:p w:rsidR="008F3BE0" w:rsidRPr="008F3BE0" w:rsidRDefault="008F3BE0" w:rsidP="008F3BE0">
            <w:pPr>
              <w:tabs>
                <w:tab w:val="clear" w:pos="284"/>
              </w:tabs>
              <w:spacing w:line="240" w:lineRule="auto"/>
              <w:jc w:val="right"/>
              <w:rPr>
                <w:rFonts w:ascii="Arial" w:eastAsia="Times New Roman" w:hAnsi="Arial" w:cs="Arial"/>
                <w:color w:val="000000"/>
                <w:kern w:val="0"/>
                <w:lang w:eastAsia="en-GB"/>
              </w:rPr>
            </w:pPr>
            <w:r w:rsidRPr="008F3BE0">
              <w:rPr>
                <w:rFonts w:ascii="Arial" w:eastAsia="Times New Roman" w:hAnsi="Arial" w:cs="Arial"/>
                <w:color w:val="000000"/>
                <w:kern w:val="0"/>
                <w:lang w:eastAsia="en-GB"/>
              </w:rPr>
              <w:t>19.1%</w:t>
            </w:r>
          </w:p>
        </w:tc>
        <w:tc>
          <w:tcPr>
            <w:tcW w:w="1400" w:type="dxa"/>
            <w:tcBorders>
              <w:top w:val="nil"/>
              <w:left w:val="nil"/>
              <w:bottom w:val="single" w:sz="4" w:space="0" w:color="auto"/>
              <w:right w:val="single" w:sz="8" w:space="0" w:color="auto"/>
            </w:tcBorders>
            <w:shd w:val="clear" w:color="auto" w:fill="auto"/>
            <w:noWrap/>
            <w:vAlign w:val="bottom"/>
            <w:hideMark/>
          </w:tcPr>
          <w:p w:rsidR="008F3BE0" w:rsidRPr="008F3BE0" w:rsidRDefault="008F3BE0" w:rsidP="008F3BE0">
            <w:pPr>
              <w:tabs>
                <w:tab w:val="clear" w:pos="284"/>
              </w:tabs>
              <w:spacing w:line="240" w:lineRule="auto"/>
              <w:jc w:val="right"/>
              <w:rPr>
                <w:rFonts w:ascii="Arial" w:eastAsia="Times New Roman" w:hAnsi="Arial" w:cs="Arial"/>
                <w:color w:val="000000"/>
                <w:kern w:val="0"/>
                <w:lang w:eastAsia="en-GB"/>
              </w:rPr>
            </w:pPr>
            <w:r w:rsidRPr="008F3BE0">
              <w:rPr>
                <w:rFonts w:ascii="Arial" w:eastAsia="Times New Roman" w:hAnsi="Arial" w:cs="Arial"/>
                <w:color w:val="000000"/>
                <w:kern w:val="0"/>
                <w:lang w:eastAsia="en-GB"/>
              </w:rPr>
              <w:t>17.6%</w:t>
            </w:r>
          </w:p>
        </w:tc>
      </w:tr>
      <w:tr w:rsidR="008F3BE0" w:rsidRPr="008F3BE0" w:rsidTr="008F3BE0">
        <w:trPr>
          <w:trHeight w:val="228"/>
        </w:trPr>
        <w:tc>
          <w:tcPr>
            <w:tcW w:w="2440" w:type="dxa"/>
            <w:tcBorders>
              <w:top w:val="nil"/>
              <w:left w:val="single" w:sz="8" w:space="0" w:color="auto"/>
              <w:bottom w:val="single" w:sz="4" w:space="0" w:color="auto"/>
              <w:right w:val="single" w:sz="4" w:space="0" w:color="auto"/>
            </w:tcBorders>
            <w:shd w:val="clear" w:color="auto" w:fill="auto"/>
            <w:noWrap/>
            <w:vAlign w:val="bottom"/>
            <w:hideMark/>
          </w:tcPr>
          <w:p w:rsidR="008F3BE0" w:rsidRPr="008F3BE0" w:rsidRDefault="008F3BE0" w:rsidP="008F3BE0">
            <w:pPr>
              <w:tabs>
                <w:tab w:val="clear" w:pos="284"/>
              </w:tabs>
              <w:spacing w:line="240" w:lineRule="auto"/>
              <w:rPr>
                <w:rFonts w:ascii="Arial" w:eastAsia="Times New Roman" w:hAnsi="Arial" w:cs="Arial"/>
                <w:color w:val="000000"/>
                <w:kern w:val="0"/>
                <w:lang w:eastAsia="en-GB"/>
              </w:rPr>
            </w:pPr>
            <w:r w:rsidRPr="008F3BE0">
              <w:rPr>
                <w:rFonts w:ascii="Arial" w:eastAsia="Times New Roman" w:hAnsi="Arial" w:cs="Arial"/>
                <w:color w:val="000000"/>
                <w:kern w:val="0"/>
                <w:lang w:eastAsia="en-GB"/>
              </w:rPr>
              <w:t> </w:t>
            </w:r>
          </w:p>
        </w:tc>
        <w:tc>
          <w:tcPr>
            <w:tcW w:w="2300" w:type="dxa"/>
            <w:tcBorders>
              <w:top w:val="nil"/>
              <w:left w:val="nil"/>
              <w:bottom w:val="single" w:sz="4" w:space="0" w:color="auto"/>
              <w:right w:val="single" w:sz="4" w:space="0" w:color="auto"/>
            </w:tcBorders>
            <w:shd w:val="clear" w:color="auto" w:fill="auto"/>
            <w:noWrap/>
            <w:vAlign w:val="bottom"/>
            <w:hideMark/>
          </w:tcPr>
          <w:p w:rsidR="008F3BE0" w:rsidRPr="008F3BE0" w:rsidRDefault="008F3BE0" w:rsidP="008F3BE0">
            <w:pPr>
              <w:tabs>
                <w:tab w:val="clear" w:pos="284"/>
              </w:tabs>
              <w:spacing w:line="240" w:lineRule="auto"/>
              <w:rPr>
                <w:rFonts w:ascii="Arial" w:eastAsia="Times New Roman" w:hAnsi="Arial" w:cs="Arial"/>
                <w:color w:val="000000"/>
                <w:kern w:val="0"/>
                <w:lang w:eastAsia="en-GB"/>
              </w:rPr>
            </w:pPr>
            <w:r w:rsidRPr="008F3BE0">
              <w:rPr>
                <w:rFonts w:ascii="Arial" w:eastAsia="Times New Roman" w:hAnsi="Arial" w:cs="Arial"/>
                <w:color w:val="000000"/>
                <w:kern w:val="0"/>
                <w:lang w:eastAsia="en-GB"/>
              </w:rPr>
              <w:t>With dependent children</w:t>
            </w:r>
          </w:p>
        </w:tc>
        <w:tc>
          <w:tcPr>
            <w:tcW w:w="1400" w:type="dxa"/>
            <w:tcBorders>
              <w:top w:val="nil"/>
              <w:left w:val="nil"/>
              <w:bottom w:val="single" w:sz="4" w:space="0" w:color="auto"/>
              <w:right w:val="single" w:sz="4" w:space="0" w:color="auto"/>
            </w:tcBorders>
            <w:shd w:val="clear" w:color="auto" w:fill="auto"/>
            <w:noWrap/>
            <w:vAlign w:val="bottom"/>
            <w:hideMark/>
          </w:tcPr>
          <w:p w:rsidR="008F3BE0" w:rsidRPr="008F3BE0" w:rsidRDefault="008F3BE0" w:rsidP="008F3BE0">
            <w:pPr>
              <w:tabs>
                <w:tab w:val="clear" w:pos="284"/>
              </w:tabs>
              <w:spacing w:line="240" w:lineRule="auto"/>
              <w:jc w:val="right"/>
              <w:rPr>
                <w:rFonts w:ascii="Arial" w:eastAsia="Times New Roman" w:hAnsi="Arial" w:cs="Arial"/>
                <w:color w:val="000000"/>
                <w:kern w:val="0"/>
                <w:lang w:eastAsia="en-GB"/>
              </w:rPr>
            </w:pPr>
            <w:r w:rsidRPr="008F3BE0">
              <w:rPr>
                <w:rFonts w:ascii="Arial" w:eastAsia="Times New Roman" w:hAnsi="Arial" w:cs="Arial"/>
                <w:color w:val="000000"/>
                <w:kern w:val="0"/>
                <w:lang w:eastAsia="en-GB"/>
              </w:rPr>
              <w:t>13.0%</w:t>
            </w:r>
          </w:p>
        </w:tc>
        <w:tc>
          <w:tcPr>
            <w:tcW w:w="1720" w:type="dxa"/>
            <w:tcBorders>
              <w:top w:val="nil"/>
              <w:left w:val="nil"/>
              <w:bottom w:val="single" w:sz="4" w:space="0" w:color="auto"/>
              <w:right w:val="single" w:sz="4" w:space="0" w:color="auto"/>
            </w:tcBorders>
            <w:shd w:val="clear" w:color="auto" w:fill="auto"/>
            <w:noWrap/>
            <w:vAlign w:val="bottom"/>
            <w:hideMark/>
          </w:tcPr>
          <w:p w:rsidR="008F3BE0" w:rsidRPr="008F3BE0" w:rsidRDefault="008F3BE0" w:rsidP="008F3BE0">
            <w:pPr>
              <w:tabs>
                <w:tab w:val="clear" w:pos="284"/>
              </w:tabs>
              <w:spacing w:line="240" w:lineRule="auto"/>
              <w:jc w:val="right"/>
              <w:rPr>
                <w:rFonts w:ascii="Arial" w:eastAsia="Times New Roman" w:hAnsi="Arial" w:cs="Arial"/>
                <w:color w:val="000000"/>
                <w:kern w:val="0"/>
                <w:lang w:eastAsia="en-GB"/>
              </w:rPr>
            </w:pPr>
            <w:r w:rsidRPr="008F3BE0">
              <w:rPr>
                <w:rFonts w:ascii="Arial" w:eastAsia="Times New Roman" w:hAnsi="Arial" w:cs="Arial"/>
                <w:color w:val="000000"/>
                <w:kern w:val="0"/>
                <w:lang w:eastAsia="en-GB"/>
              </w:rPr>
              <w:t>22.1%</w:t>
            </w:r>
          </w:p>
        </w:tc>
        <w:tc>
          <w:tcPr>
            <w:tcW w:w="1400" w:type="dxa"/>
            <w:tcBorders>
              <w:top w:val="nil"/>
              <w:left w:val="nil"/>
              <w:bottom w:val="single" w:sz="4" w:space="0" w:color="auto"/>
              <w:right w:val="single" w:sz="8" w:space="0" w:color="auto"/>
            </w:tcBorders>
            <w:shd w:val="clear" w:color="auto" w:fill="auto"/>
            <w:noWrap/>
            <w:vAlign w:val="bottom"/>
            <w:hideMark/>
          </w:tcPr>
          <w:p w:rsidR="008F3BE0" w:rsidRPr="008F3BE0" w:rsidRDefault="008F3BE0" w:rsidP="008F3BE0">
            <w:pPr>
              <w:tabs>
                <w:tab w:val="clear" w:pos="284"/>
              </w:tabs>
              <w:spacing w:line="240" w:lineRule="auto"/>
              <w:jc w:val="right"/>
              <w:rPr>
                <w:rFonts w:ascii="Arial" w:eastAsia="Times New Roman" w:hAnsi="Arial" w:cs="Arial"/>
                <w:color w:val="000000"/>
                <w:kern w:val="0"/>
                <w:lang w:eastAsia="en-GB"/>
              </w:rPr>
            </w:pPr>
            <w:r w:rsidRPr="008F3BE0">
              <w:rPr>
                <w:rFonts w:ascii="Arial" w:eastAsia="Times New Roman" w:hAnsi="Arial" w:cs="Arial"/>
                <w:color w:val="000000"/>
                <w:kern w:val="0"/>
                <w:lang w:eastAsia="en-GB"/>
              </w:rPr>
              <w:t>26.5%</w:t>
            </w:r>
          </w:p>
        </w:tc>
      </w:tr>
      <w:tr w:rsidR="008F3BE0" w:rsidRPr="008F3BE0" w:rsidTr="008F3BE0">
        <w:trPr>
          <w:trHeight w:val="228"/>
        </w:trPr>
        <w:tc>
          <w:tcPr>
            <w:tcW w:w="2440" w:type="dxa"/>
            <w:tcBorders>
              <w:top w:val="nil"/>
              <w:left w:val="single" w:sz="8" w:space="0" w:color="auto"/>
              <w:bottom w:val="single" w:sz="4" w:space="0" w:color="auto"/>
              <w:right w:val="single" w:sz="4" w:space="0" w:color="auto"/>
            </w:tcBorders>
            <w:shd w:val="clear" w:color="auto" w:fill="auto"/>
            <w:noWrap/>
            <w:vAlign w:val="bottom"/>
            <w:hideMark/>
          </w:tcPr>
          <w:p w:rsidR="008F3BE0" w:rsidRPr="008F3BE0" w:rsidRDefault="008F3BE0" w:rsidP="008F3BE0">
            <w:pPr>
              <w:tabs>
                <w:tab w:val="clear" w:pos="284"/>
              </w:tabs>
              <w:spacing w:line="240" w:lineRule="auto"/>
              <w:rPr>
                <w:rFonts w:ascii="Arial" w:eastAsia="Times New Roman" w:hAnsi="Arial" w:cs="Arial"/>
                <w:color w:val="000000"/>
                <w:kern w:val="0"/>
                <w:lang w:eastAsia="en-GB"/>
              </w:rPr>
            </w:pPr>
            <w:r w:rsidRPr="008F3BE0">
              <w:rPr>
                <w:rFonts w:ascii="Arial" w:eastAsia="Times New Roman" w:hAnsi="Arial" w:cs="Arial"/>
                <w:color w:val="000000"/>
                <w:kern w:val="0"/>
                <w:lang w:eastAsia="en-GB"/>
              </w:rPr>
              <w:t> </w:t>
            </w:r>
          </w:p>
        </w:tc>
        <w:tc>
          <w:tcPr>
            <w:tcW w:w="2300" w:type="dxa"/>
            <w:tcBorders>
              <w:top w:val="nil"/>
              <w:left w:val="nil"/>
              <w:bottom w:val="single" w:sz="4" w:space="0" w:color="auto"/>
              <w:right w:val="single" w:sz="4" w:space="0" w:color="auto"/>
            </w:tcBorders>
            <w:shd w:val="clear" w:color="auto" w:fill="auto"/>
            <w:noWrap/>
            <w:vAlign w:val="bottom"/>
            <w:hideMark/>
          </w:tcPr>
          <w:p w:rsidR="008F3BE0" w:rsidRPr="008F3BE0" w:rsidRDefault="008F3BE0" w:rsidP="008F3BE0">
            <w:pPr>
              <w:tabs>
                <w:tab w:val="clear" w:pos="284"/>
              </w:tabs>
              <w:spacing w:line="240" w:lineRule="auto"/>
              <w:rPr>
                <w:rFonts w:ascii="Arial" w:eastAsia="Times New Roman" w:hAnsi="Arial" w:cs="Arial"/>
                <w:color w:val="000000"/>
                <w:kern w:val="0"/>
                <w:lang w:eastAsia="en-GB"/>
              </w:rPr>
            </w:pPr>
            <w:r w:rsidRPr="008F3BE0">
              <w:rPr>
                <w:rFonts w:ascii="Arial" w:eastAsia="Times New Roman" w:hAnsi="Arial" w:cs="Arial"/>
                <w:color w:val="000000"/>
                <w:kern w:val="0"/>
                <w:lang w:eastAsia="en-GB"/>
              </w:rPr>
              <w:t>All children Non-Dependent</w:t>
            </w:r>
          </w:p>
        </w:tc>
        <w:tc>
          <w:tcPr>
            <w:tcW w:w="1400" w:type="dxa"/>
            <w:tcBorders>
              <w:top w:val="nil"/>
              <w:left w:val="nil"/>
              <w:bottom w:val="single" w:sz="4" w:space="0" w:color="auto"/>
              <w:right w:val="single" w:sz="4" w:space="0" w:color="auto"/>
            </w:tcBorders>
            <w:shd w:val="clear" w:color="auto" w:fill="auto"/>
            <w:noWrap/>
            <w:vAlign w:val="bottom"/>
            <w:hideMark/>
          </w:tcPr>
          <w:p w:rsidR="008F3BE0" w:rsidRPr="008F3BE0" w:rsidRDefault="008F3BE0" w:rsidP="008F3BE0">
            <w:pPr>
              <w:tabs>
                <w:tab w:val="clear" w:pos="284"/>
              </w:tabs>
              <w:spacing w:line="240" w:lineRule="auto"/>
              <w:jc w:val="right"/>
              <w:rPr>
                <w:rFonts w:ascii="Arial" w:eastAsia="Times New Roman" w:hAnsi="Arial" w:cs="Arial"/>
                <w:color w:val="000000"/>
                <w:kern w:val="0"/>
                <w:lang w:eastAsia="en-GB"/>
              </w:rPr>
            </w:pPr>
            <w:r w:rsidRPr="008F3BE0">
              <w:rPr>
                <w:rFonts w:ascii="Arial" w:eastAsia="Times New Roman" w:hAnsi="Arial" w:cs="Arial"/>
                <w:color w:val="000000"/>
                <w:kern w:val="0"/>
                <w:lang w:eastAsia="en-GB"/>
              </w:rPr>
              <w:t>8.6%</w:t>
            </w:r>
          </w:p>
        </w:tc>
        <w:tc>
          <w:tcPr>
            <w:tcW w:w="1720" w:type="dxa"/>
            <w:tcBorders>
              <w:top w:val="nil"/>
              <w:left w:val="nil"/>
              <w:bottom w:val="single" w:sz="4" w:space="0" w:color="auto"/>
              <w:right w:val="single" w:sz="4" w:space="0" w:color="auto"/>
            </w:tcBorders>
            <w:shd w:val="clear" w:color="auto" w:fill="auto"/>
            <w:noWrap/>
            <w:vAlign w:val="bottom"/>
            <w:hideMark/>
          </w:tcPr>
          <w:p w:rsidR="008F3BE0" w:rsidRPr="008F3BE0" w:rsidRDefault="008F3BE0" w:rsidP="008F3BE0">
            <w:pPr>
              <w:tabs>
                <w:tab w:val="clear" w:pos="284"/>
              </w:tabs>
              <w:spacing w:line="240" w:lineRule="auto"/>
              <w:jc w:val="right"/>
              <w:rPr>
                <w:rFonts w:ascii="Arial" w:eastAsia="Times New Roman" w:hAnsi="Arial" w:cs="Arial"/>
                <w:color w:val="000000"/>
                <w:kern w:val="0"/>
                <w:lang w:eastAsia="en-GB"/>
              </w:rPr>
            </w:pPr>
            <w:r w:rsidRPr="008F3BE0">
              <w:rPr>
                <w:rFonts w:ascii="Arial" w:eastAsia="Times New Roman" w:hAnsi="Arial" w:cs="Arial"/>
                <w:color w:val="000000"/>
                <w:kern w:val="0"/>
                <w:lang w:eastAsia="en-GB"/>
              </w:rPr>
              <w:t>8.1%</w:t>
            </w:r>
          </w:p>
        </w:tc>
        <w:tc>
          <w:tcPr>
            <w:tcW w:w="1400" w:type="dxa"/>
            <w:tcBorders>
              <w:top w:val="nil"/>
              <w:left w:val="nil"/>
              <w:bottom w:val="single" w:sz="4" w:space="0" w:color="auto"/>
              <w:right w:val="single" w:sz="8" w:space="0" w:color="auto"/>
            </w:tcBorders>
            <w:shd w:val="clear" w:color="auto" w:fill="auto"/>
            <w:noWrap/>
            <w:vAlign w:val="bottom"/>
            <w:hideMark/>
          </w:tcPr>
          <w:p w:rsidR="008F3BE0" w:rsidRPr="008F3BE0" w:rsidRDefault="008F3BE0" w:rsidP="008F3BE0">
            <w:pPr>
              <w:tabs>
                <w:tab w:val="clear" w:pos="284"/>
              </w:tabs>
              <w:spacing w:line="240" w:lineRule="auto"/>
              <w:jc w:val="right"/>
              <w:rPr>
                <w:rFonts w:ascii="Arial" w:eastAsia="Times New Roman" w:hAnsi="Arial" w:cs="Arial"/>
                <w:color w:val="000000"/>
                <w:kern w:val="0"/>
                <w:lang w:eastAsia="en-GB"/>
              </w:rPr>
            </w:pPr>
            <w:r w:rsidRPr="008F3BE0">
              <w:rPr>
                <w:rFonts w:ascii="Arial" w:eastAsia="Times New Roman" w:hAnsi="Arial" w:cs="Arial"/>
                <w:color w:val="000000"/>
                <w:kern w:val="0"/>
                <w:lang w:eastAsia="en-GB"/>
              </w:rPr>
              <w:t>9.6%</w:t>
            </w:r>
          </w:p>
        </w:tc>
      </w:tr>
      <w:tr w:rsidR="008F3BE0" w:rsidRPr="008F3BE0" w:rsidTr="008F3BE0">
        <w:trPr>
          <w:trHeight w:val="240"/>
        </w:trPr>
        <w:tc>
          <w:tcPr>
            <w:tcW w:w="2440" w:type="dxa"/>
            <w:tcBorders>
              <w:top w:val="nil"/>
              <w:left w:val="single" w:sz="8" w:space="0" w:color="auto"/>
              <w:bottom w:val="single" w:sz="8" w:space="0" w:color="auto"/>
              <w:right w:val="single" w:sz="4" w:space="0" w:color="auto"/>
            </w:tcBorders>
            <w:shd w:val="clear" w:color="auto" w:fill="auto"/>
            <w:noWrap/>
            <w:vAlign w:val="bottom"/>
            <w:hideMark/>
          </w:tcPr>
          <w:p w:rsidR="008F3BE0" w:rsidRPr="008F3BE0" w:rsidRDefault="008F3BE0" w:rsidP="008F3BE0">
            <w:pPr>
              <w:tabs>
                <w:tab w:val="clear" w:pos="284"/>
              </w:tabs>
              <w:spacing w:line="240" w:lineRule="auto"/>
              <w:rPr>
                <w:rFonts w:ascii="Arial" w:eastAsia="Times New Roman" w:hAnsi="Arial" w:cs="Arial"/>
                <w:color w:val="000000"/>
                <w:kern w:val="0"/>
                <w:lang w:eastAsia="en-GB"/>
              </w:rPr>
            </w:pPr>
            <w:r w:rsidRPr="008F3BE0">
              <w:rPr>
                <w:rFonts w:ascii="Arial" w:eastAsia="Times New Roman" w:hAnsi="Arial" w:cs="Arial"/>
                <w:color w:val="000000"/>
                <w:kern w:val="0"/>
                <w:lang w:eastAsia="en-GB"/>
              </w:rPr>
              <w:t>Other household types</w:t>
            </w:r>
          </w:p>
        </w:tc>
        <w:tc>
          <w:tcPr>
            <w:tcW w:w="2300" w:type="dxa"/>
            <w:tcBorders>
              <w:top w:val="nil"/>
              <w:left w:val="nil"/>
              <w:bottom w:val="single" w:sz="8" w:space="0" w:color="auto"/>
              <w:right w:val="single" w:sz="4" w:space="0" w:color="auto"/>
            </w:tcBorders>
            <w:shd w:val="clear" w:color="auto" w:fill="auto"/>
            <w:noWrap/>
            <w:vAlign w:val="bottom"/>
            <w:hideMark/>
          </w:tcPr>
          <w:p w:rsidR="008F3BE0" w:rsidRPr="008F3BE0" w:rsidRDefault="008F3BE0" w:rsidP="008F3BE0">
            <w:pPr>
              <w:tabs>
                <w:tab w:val="clear" w:pos="284"/>
              </w:tabs>
              <w:spacing w:line="240" w:lineRule="auto"/>
              <w:rPr>
                <w:rFonts w:ascii="Arial" w:eastAsia="Times New Roman" w:hAnsi="Arial" w:cs="Arial"/>
                <w:color w:val="000000"/>
                <w:kern w:val="0"/>
                <w:lang w:eastAsia="en-GB"/>
              </w:rPr>
            </w:pPr>
            <w:r w:rsidRPr="008F3BE0">
              <w:rPr>
                <w:rFonts w:ascii="Arial" w:eastAsia="Times New Roman" w:hAnsi="Arial" w:cs="Arial"/>
                <w:color w:val="000000"/>
                <w:kern w:val="0"/>
                <w:lang w:eastAsia="en-GB"/>
              </w:rPr>
              <w:t>Total</w:t>
            </w:r>
          </w:p>
        </w:tc>
        <w:tc>
          <w:tcPr>
            <w:tcW w:w="1400" w:type="dxa"/>
            <w:tcBorders>
              <w:top w:val="nil"/>
              <w:left w:val="nil"/>
              <w:bottom w:val="single" w:sz="8" w:space="0" w:color="auto"/>
              <w:right w:val="single" w:sz="4" w:space="0" w:color="auto"/>
            </w:tcBorders>
            <w:shd w:val="clear" w:color="auto" w:fill="auto"/>
            <w:noWrap/>
            <w:vAlign w:val="bottom"/>
            <w:hideMark/>
          </w:tcPr>
          <w:p w:rsidR="008F3BE0" w:rsidRPr="008F3BE0" w:rsidRDefault="008F3BE0" w:rsidP="008F3BE0">
            <w:pPr>
              <w:tabs>
                <w:tab w:val="clear" w:pos="284"/>
              </w:tabs>
              <w:spacing w:line="240" w:lineRule="auto"/>
              <w:jc w:val="right"/>
              <w:rPr>
                <w:rFonts w:ascii="Arial" w:eastAsia="Times New Roman" w:hAnsi="Arial" w:cs="Arial"/>
                <w:color w:val="000000"/>
                <w:kern w:val="0"/>
                <w:lang w:eastAsia="en-GB"/>
              </w:rPr>
            </w:pPr>
            <w:r w:rsidRPr="008F3BE0">
              <w:rPr>
                <w:rFonts w:ascii="Arial" w:eastAsia="Times New Roman" w:hAnsi="Arial" w:cs="Arial"/>
                <w:color w:val="000000"/>
                <w:kern w:val="0"/>
                <w:lang w:eastAsia="en-GB"/>
              </w:rPr>
              <w:t>4.3%</w:t>
            </w:r>
          </w:p>
        </w:tc>
        <w:tc>
          <w:tcPr>
            <w:tcW w:w="1720" w:type="dxa"/>
            <w:tcBorders>
              <w:top w:val="nil"/>
              <w:left w:val="nil"/>
              <w:bottom w:val="single" w:sz="8" w:space="0" w:color="auto"/>
              <w:right w:val="single" w:sz="4" w:space="0" w:color="auto"/>
            </w:tcBorders>
            <w:shd w:val="clear" w:color="auto" w:fill="auto"/>
            <w:noWrap/>
            <w:vAlign w:val="bottom"/>
            <w:hideMark/>
          </w:tcPr>
          <w:p w:rsidR="008F3BE0" w:rsidRPr="008F3BE0" w:rsidRDefault="008F3BE0" w:rsidP="008F3BE0">
            <w:pPr>
              <w:tabs>
                <w:tab w:val="clear" w:pos="284"/>
              </w:tabs>
              <w:spacing w:line="240" w:lineRule="auto"/>
              <w:jc w:val="right"/>
              <w:rPr>
                <w:rFonts w:ascii="Arial" w:eastAsia="Times New Roman" w:hAnsi="Arial" w:cs="Arial"/>
                <w:color w:val="000000"/>
                <w:kern w:val="0"/>
                <w:lang w:eastAsia="en-GB"/>
              </w:rPr>
            </w:pPr>
            <w:r w:rsidRPr="008F3BE0">
              <w:rPr>
                <w:rFonts w:ascii="Arial" w:eastAsia="Times New Roman" w:hAnsi="Arial" w:cs="Arial"/>
                <w:color w:val="000000"/>
                <w:kern w:val="0"/>
                <w:lang w:eastAsia="en-GB"/>
              </w:rPr>
              <w:t>6.2%</w:t>
            </w:r>
          </w:p>
        </w:tc>
        <w:tc>
          <w:tcPr>
            <w:tcW w:w="1400" w:type="dxa"/>
            <w:tcBorders>
              <w:top w:val="nil"/>
              <w:left w:val="nil"/>
              <w:bottom w:val="single" w:sz="8" w:space="0" w:color="auto"/>
              <w:right w:val="single" w:sz="8" w:space="0" w:color="auto"/>
            </w:tcBorders>
            <w:shd w:val="clear" w:color="auto" w:fill="auto"/>
            <w:noWrap/>
            <w:vAlign w:val="bottom"/>
            <w:hideMark/>
          </w:tcPr>
          <w:p w:rsidR="008F3BE0" w:rsidRPr="008F3BE0" w:rsidRDefault="008F3BE0" w:rsidP="008F3BE0">
            <w:pPr>
              <w:tabs>
                <w:tab w:val="clear" w:pos="284"/>
              </w:tabs>
              <w:spacing w:line="240" w:lineRule="auto"/>
              <w:jc w:val="right"/>
              <w:rPr>
                <w:rFonts w:ascii="Arial" w:eastAsia="Times New Roman" w:hAnsi="Arial" w:cs="Arial"/>
                <w:color w:val="000000"/>
                <w:kern w:val="0"/>
                <w:lang w:eastAsia="en-GB"/>
              </w:rPr>
            </w:pPr>
            <w:r w:rsidRPr="008F3BE0">
              <w:rPr>
                <w:rFonts w:ascii="Arial" w:eastAsia="Times New Roman" w:hAnsi="Arial" w:cs="Arial"/>
                <w:color w:val="000000"/>
                <w:kern w:val="0"/>
                <w:lang w:eastAsia="en-GB"/>
              </w:rPr>
              <w:t>8.0%</w:t>
            </w:r>
          </w:p>
        </w:tc>
      </w:tr>
    </w:tbl>
    <w:p w:rsidR="00C16620" w:rsidRDefault="00FB2DF9" w:rsidP="0028000E">
      <w:pPr>
        <w:pStyle w:val="ListNumber"/>
        <w:numPr>
          <w:ilvl w:val="0"/>
          <w:numId w:val="0"/>
        </w:numPr>
        <w:ind w:left="425" w:hanging="425"/>
        <w:rPr>
          <w:bCs/>
          <w:i/>
          <w:iCs/>
          <w:color w:val="000000" w:themeColor="text1"/>
          <w:lang w:val="en-US"/>
        </w:rPr>
      </w:pPr>
      <w:r w:rsidRPr="00FB2DF9">
        <w:rPr>
          <w:bCs/>
          <w:i/>
          <w:iCs/>
          <w:color w:val="000000" w:themeColor="text1"/>
          <w:lang w:val="en-US"/>
        </w:rPr>
        <w:t xml:space="preserve">Source: Census 2011, AECOM </w:t>
      </w:r>
      <w:r w:rsidR="0028437E">
        <w:rPr>
          <w:bCs/>
          <w:i/>
          <w:iCs/>
          <w:color w:val="000000" w:themeColor="text1"/>
          <w:lang w:val="en-US"/>
        </w:rPr>
        <w:t>c</w:t>
      </w:r>
      <w:r w:rsidRPr="00FB2DF9">
        <w:rPr>
          <w:bCs/>
          <w:i/>
          <w:iCs/>
          <w:color w:val="000000" w:themeColor="text1"/>
          <w:lang w:val="en-US"/>
        </w:rPr>
        <w:t>alculations</w:t>
      </w:r>
    </w:p>
    <w:p w:rsidR="006C05E0" w:rsidRDefault="00FB2DF9" w:rsidP="009149D7">
      <w:pPr>
        <w:pStyle w:val="ListNumber"/>
        <w:rPr>
          <w:lang w:val="en-US"/>
        </w:rPr>
      </w:pPr>
      <w:r>
        <w:rPr>
          <w:lang w:val="en-US"/>
        </w:rPr>
        <w:t>The change in household composition over the inter-censual period is shown in Table</w:t>
      </w:r>
      <w:r w:rsidR="0028437E">
        <w:rPr>
          <w:lang w:val="en-US"/>
        </w:rPr>
        <w:t xml:space="preserve"> </w:t>
      </w:r>
      <w:r w:rsidR="00DC7A83">
        <w:rPr>
          <w:lang w:val="en-US"/>
        </w:rPr>
        <w:t>8</w:t>
      </w:r>
      <w:r>
        <w:rPr>
          <w:lang w:val="en-US"/>
        </w:rPr>
        <w:t xml:space="preserve"> below. This reveals a substantial increase in one-person households over the period. Within a population that is declining over-all, the number of one-person households increased by 59 households, of which the majority were below the age of 65. </w:t>
      </w:r>
    </w:p>
    <w:p w:rsidR="00FB2DF9" w:rsidRPr="00FB2DF9" w:rsidRDefault="00FB2DF9" w:rsidP="009149D7">
      <w:pPr>
        <w:pStyle w:val="ListNumber"/>
        <w:rPr>
          <w:lang w:val="en-US"/>
        </w:rPr>
      </w:pPr>
      <w:r>
        <w:rPr>
          <w:lang w:val="en-US"/>
        </w:rPr>
        <w:t>Overall, the representation of families declined, with the largest fall those with dependent children. This gro</w:t>
      </w:r>
      <w:r w:rsidR="00E85FCA">
        <w:rPr>
          <w:lang w:val="en-US"/>
        </w:rPr>
        <w:t xml:space="preserve">up fell in numerical terms by 20 households over the period. While the growth in one-person households is mirrored in the </w:t>
      </w:r>
      <w:r w:rsidR="005F5CF8">
        <w:rPr>
          <w:lang w:val="en-US"/>
        </w:rPr>
        <w:lastRenderedPageBreak/>
        <w:t>District</w:t>
      </w:r>
      <w:r w:rsidR="00E85FCA">
        <w:rPr>
          <w:lang w:val="en-US"/>
        </w:rPr>
        <w:t xml:space="preserve"> (although the change if less pronounced), the </w:t>
      </w:r>
      <w:r w:rsidR="005F5CF8">
        <w:rPr>
          <w:lang w:val="en-US"/>
        </w:rPr>
        <w:t>District</w:t>
      </w:r>
      <w:r w:rsidR="00E85FCA">
        <w:rPr>
          <w:lang w:val="en-US"/>
        </w:rPr>
        <w:t xml:space="preserve"> saw an increase in family households, led by those with non-dependent children. </w:t>
      </w:r>
    </w:p>
    <w:p w:rsidR="009149D7" w:rsidRDefault="009149D7" w:rsidP="009149D7">
      <w:pPr>
        <w:pStyle w:val="Caption"/>
      </w:pPr>
      <w:r>
        <w:t xml:space="preserve">Table </w:t>
      </w:r>
      <w:fldSimple w:instr=" SEQ Table \* ARABIC ">
        <w:r w:rsidR="00B25544">
          <w:rPr>
            <w:noProof/>
          </w:rPr>
          <w:t>8</w:t>
        </w:r>
      </w:fldSimple>
      <w:r>
        <w:t xml:space="preserve">: </w:t>
      </w:r>
      <w:r w:rsidRPr="00F22632">
        <w:t>Rates of change in household composition in West Wittering, 2001-2011</w:t>
      </w:r>
    </w:p>
    <w:tbl>
      <w:tblPr>
        <w:tblW w:w="9260" w:type="dxa"/>
        <w:tblInd w:w="98" w:type="dxa"/>
        <w:tblLook w:val="04A0" w:firstRow="1" w:lastRow="0" w:firstColumn="1" w:lastColumn="0" w:noHBand="0" w:noVBand="1"/>
      </w:tblPr>
      <w:tblGrid>
        <w:gridCol w:w="2440"/>
        <w:gridCol w:w="2300"/>
        <w:gridCol w:w="1400"/>
        <w:gridCol w:w="1720"/>
        <w:gridCol w:w="1400"/>
      </w:tblGrid>
      <w:tr w:rsidR="00FB2DF9" w:rsidRPr="00FB2DF9" w:rsidTr="00FB2DF9">
        <w:trPr>
          <w:trHeight w:val="240"/>
        </w:trPr>
        <w:tc>
          <w:tcPr>
            <w:tcW w:w="2440"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FB2DF9" w:rsidRPr="00FB2DF9" w:rsidRDefault="00FB2DF9" w:rsidP="00FB2DF9">
            <w:pPr>
              <w:tabs>
                <w:tab w:val="clear" w:pos="284"/>
              </w:tabs>
              <w:spacing w:line="240" w:lineRule="auto"/>
              <w:rPr>
                <w:rFonts w:ascii="Arial" w:eastAsia="Times New Roman" w:hAnsi="Arial" w:cs="Arial"/>
                <w:b/>
                <w:bCs/>
                <w:color w:val="000000"/>
                <w:kern w:val="0"/>
                <w:lang w:eastAsia="en-GB"/>
              </w:rPr>
            </w:pPr>
            <w:r w:rsidRPr="00FB2DF9">
              <w:rPr>
                <w:rFonts w:ascii="Arial" w:eastAsia="Times New Roman" w:hAnsi="Arial" w:cs="Arial"/>
                <w:b/>
                <w:bCs/>
                <w:color w:val="000000"/>
                <w:kern w:val="0"/>
                <w:lang w:eastAsia="en-GB"/>
              </w:rPr>
              <w:t>Household type</w:t>
            </w:r>
          </w:p>
        </w:tc>
        <w:tc>
          <w:tcPr>
            <w:tcW w:w="2300" w:type="dxa"/>
            <w:tcBorders>
              <w:top w:val="single" w:sz="8" w:space="0" w:color="auto"/>
              <w:left w:val="nil"/>
              <w:bottom w:val="single" w:sz="4" w:space="0" w:color="auto"/>
              <w:right w:val="single" w:sz="4" w:space="0" w:color="auto"/>
            </w:tcBorders>
            <w:shd w:val="clear" w:color="auto" w:fill="auto"/>
            <w:noWrap/>
            <w:vAlign w:val="bottom"/>
            <w:hideMark/>
          </w:tcPr>
          <w:p w:rsidR="00FB2DF9" w:rsidRPr="00FB2DF9" w:rsidRDefault="00FB2DF9" w:rsidP="00FB2DF9">
            <w:pPr>
              <w:tabs>
                <w:tab w:val="clear" w:pos="284"/>
              </w:tabs>
              <w:spacing w:line="240" w:lineRule="auto"/>
              <w:rPr>
                <w:rFonts w:ascii="Arial" w:eastAsia="Times New Roman" w:hAnsi="Arial" w:cs="Arial"/>
                <w:b/>
                <w:bCs/>
                <w:color w:val="000000"/>
                <w:kern w:val="0"/>
                <w:lang w:eastAsia="en-GB"/>
              </w:rPr>
            </w:pPr>
            <w:r w:rsidRPr="00FB2DF9">
              <w:rPr>
                <w:rFonts w:ascii="Arial" w:eastAsia="Times New Roman" w:hAnsi="Arial" w:cs="Arial"/>
                <w:b/>
                <w:bCs/>
                <w:color w:val="000000"/>
                <w:kern w:val="0"/>
                <w:lang w:eastAsia="en-GB"/>
              </w:rPr>
              <w:t> </w:t>
            </w:r>
          </w:p>
        </w:tc>
        <w:tc>
          <w:tcPr>
            <w:tcW w:w="1400" w:type="dxa"/>
            <w:tcBorders>
              <w:top w:val="single" w:sz="8" w:space="0" w:color="auto"/>
              <w:left w:val="nil"/>
              <w:bottom w:val="single" w:sz="4" w:space="0" w:color="auto"/>
              <w:right w:val="single" w:sz="4" w:space="0" w:color="auto"/>
            </w:tcBorders>
            <w:shd w:val="clear" w:color="auto" w:fill="auto"/>
            <w:noWrap/>
            <w:vAlign w:val="bottom"/>
            <w:hideMark/>
          </w:tcPr>
          <w:p w:rsidR="00FB2DF9" w:rsidRPr="00FB2DF9" w:rsidRDefault="00FB2DF9" w:rsidP="00FB2DF9">
            <w:pPr>
              <w:tabs>
                <w:tab w:val="clear" w:pos="284"/>
              </w:tabs>
              <w:spacing w:line="240" w:lineRule="auto"/>
              <w:rPr>
                <w:rFonts w:ascii="Arial" w:eastAsia="Times New Roman" w:hAnsi="Arial" w:cs="Arial"/>
                <w:b/>
                <w:bCs/>
                <w:color w:val="000000"/>
                <w:kern w:val="0"/>
                <w:lang w:eastAsia="en-GB"/>
              </w:rPr>
            </w:pPr>
            <w:r w:rsidRPr="00FB2DF9">
              <w:rPr>
                <w:rFonts w:ascii="Arial" w:eastAsia="Times New Roman" w:hAnsi="Arial" w:cs="Arial"/>
                <w:b/>
                <w:bCs/>
                <w:color w:val="000000"/>
                <w:kern w:val="0"/>
                <w:lang w:eastAsia="en-GB"/>
              </w:rPr>
              <w:t>Percentage change, 2001-2011</w:t>
            </w:r>
          </w:p>
        </w:tc>
        <w:tc>
          <w:tcPr>
            <w:tcW w:w="1720" w:type="dxa"/>
            <w:tcBorders>
              <w:top w:val="single" w:sz="8" w:space="0" w:color="auto"/>
              <w:left w:val="nil"/>
              <w:bottom w:val="single" w:sz="4" w:space="0" w:color="auto"/>
              <w:right w:val="single" w:sz="4" w:space="0" w:color="auto"/>
            </w:tcBorders>
            <w:shd w:val="clear" w:color="auto" w:fill="auto"/>
            <w:noWrap/>
            <w:vAlign w:val="bottom"/>
            <w:hideMark/>
          </w:tcPr>
          <w:p w:rsidR="00FB2DF9" w:rsidRPr="00FB2DF9" w:rsidRDefault="00FB2DF9" w:rsidP="00FB2DF9">
            <w:pPr>
              <w:tabs>
                <w:tab w:val="clear" w:pos="284"/>
              </w:tabs>
              <w:spacing w:line="240" w:lineRule="auto"/>
              <w:rPr>
                <w:rFonts w:ascii="Arial" w:eastAsia="Times New Roman" w:hAnsi="Arial" w:cs="Arial"/>
                <w:b/>
                <w:bCs/>
                <w:color w:val="000000"/>
                <w:kern w:val="0"/>
                <w:lang w:eastAsia="en-GB"/>
              </w:rPr>
            </w:pPr>
            <w:r w:rsidRPr="00FB2DF9">
              <w:rPr>
                <w:rFonts w:ascii="Arial" w:eastAsia="Times New Roman" w:hAnsi="Arial" w:cs="Arial"/>
                <w:b/>
                <w:bCs/>
                <w:color w:val="000000"/>
                <w:kern w:val="0"/>
                <w:lang w:eastAsia="en-GB"/>
              </w:rPr>
              <w:t> </w:t>
            </w:r>
          </w:p>
        </w:tc>
        <w:tc>
          <w:tcPr>
            <w:tcW w:w="1400" w:type="dxa"/>
            <w:tcBorders>
              <w:top w:val="single" w:sz="8" w:space="0" w:color="auto"/>
              <w:left w:val="nil"/>
              <w:bottom w:val="single" w:sz="4" w:space="0" w:color="auto"/>
              <w:right w:val="single" w:sz="8" w:space="0" w:color="auto"/>
            </w:tcBorders>
            <w:shd w:val="clear" w:color="auto" w:fill="auto"/>
            <w:noWrap/>
            <w:vAlign w:val="bottom"/>
            <w:hideMark/>
          </w:tcPr>
          <w:p w:rsidR="00FB2DF9" w:rsidRPr="00FB2DF9" w:rsidRDefault="00FB2DF9" w:rsidP="00FB2DF9">
            <w:pPr>
              <w:tabs>
                <w:tab w:val="clear" w:pos="284"/>
              </w:tabs>
              <w:spacing w:line="240" w:lineRule="auto"/>
              <w:rPr>
                <w:rFonts w:ascii="Arial" w:eastAsia="Times New Roman" w:hAnsi="Arial" w:cs="Arial"/>
                <w:b/>
                <w:bCs/>
                <w:color w:val="000000"/>
                <w:kern w:val="0"/>
                <w:lang w:eastAsia="en-GB"/>
              </w:rPr>
            </w:pPr>
            <w:r w:rsidRPr="00FB2DF9">
              <w:rPr>
                <w:rFonts w:ascii="Arial" w:eastAsia="Times New Roman" w:hAnsi="Arial" w:cs="Arial"/>
                <w:b/>
                <w:bCs/>
                <w:color w:val="000000"/>
                <w:kern w:val="0"/>
                <w:lang w:eastAsia="en-GB"/>
              </w:rPr>
              <w:t> </w:t>
            </w:r>
          </w:p>
        </w:tc>
      </w:tr>
      <w:tr w:rsidR="00FB2DF9" w:rsidRPr="00FB2DF9" w:rsidTr="00FB2DF9">
        <w:trPr>
          <w:trHeight w:val="240"/>
        </w:trPr>
        <w:tc>
          <w:tcPr>
            <w:tcW w:w="2440" w:type="dxa"/>
            <w:tcBorders>
              <w:top w:val="nil"/>
              <w:left w:val="single" w:sz="8" w:space="0" w:color="auto"/>
              <w:bottom w:val="single" w:sz="4" w:space="0" w:color="auto"/>
              <w:right w:val="single" w:sz="4" w:space="0" w:color="auto"/>
            </w:tcBorders>
            <w:shd w:val="clear" w:color="auto" w:fill="auto"/>
            <w:noWrap/>
            <w:vAlign w:val="bottom"/>
            <w:hideMark/>
          </w:tcPr>
          <w:p w:rsidR="00FB2DF9" w:rsidRPr="00FB2DF9" w:rsidRDefault="00FB2DF9" w:rsidP="00FB2DF9">
            <w:pPr>
              <w:tabs>
                <w:tab w:val="clear" w:pos="284"/>
              </w:tabs>
              <w:spacing w:line="240" w:lineRule="auto"/>
              <w:rPr>
                <w:rFonts w:ascii="Arial" w:eastAsia="Times New Roman" w:hAnsi="Arial" w:cs="Arial"/>
                <w:b/>
                <w:bCs/>
                <w:color w:val="000000"/>
                <w:kern w:val="0"/>
                <w:lang w:eastAsia="en-GB"/>
              </w:rPr>
            </w:pPr>
            <w:r w:rsidRPr="00FB2DF9">
              <w:rPr>
                <w:rFonts w:ascii="Arial" w:eastAsia="Times New Roman" w:hAnsi="Arial" w:cs="Arial"/>
                <w:b/>
                <w:bCs/>
                <w:color w:val="000000"/>
                <w:kern w:val="0"/>
                <w:lang w:eastAsia="en-GB"/>
              </w:rPr>
              <w:t> </w:t>
            </w:r>
          </w:p>
        </w:tc>
        <w:tc>
          <w:tcPr>
            <w:tcW w:w="2300" w:type="dxa"/>
            <w:tcBorders>
              <w:top w:val="nil"/>
              <w:left w:val="nil"/>
              <w:bottom w:val="single" w:sz="4" w:space="0" w:color="auto"/>
              <w:right w:val="single" w:sz="4" w:space="0" w:color="auto"/>
            </w:tcBorders>
            <w:shd w:val="clear" w:color="auto" w:fill="auto"/>
            <w:noWrap/>
            <w:vAlign w:val="bottom"/>
            <w:hideMark/>
          </w:tcPr>
          <w:p w:rsidR="00FB2DF9" w:rsidRPr="00FB2DF9" w:rsidRDefault="00FB2DF9" w:rsidP="00FB2DF9">
            <w:pPr>
              <w:tabs>
                <w:tab w:val="clear" w:pos="284"/>
              </w:tabs>
              <w:spacing w:line="240" w:lineRule="auto"/>
              <w:rPr>
                <w:rFonts w:ascii="Arial" w:eastAsia="Times New Roman" w:hAnsi="Arial" w:cs="Arial"/>
                <w:b/>
                <w:bCs/>
                <w:color w:val="000000"/>
                <w:kern w:val="0"/>
                <w:lang w:eastAsia="en-GB"/>
              </w:rPr>
            </w:pPr>
            <w:r w:rsidRPr="00FB2DF9">
              <w:rPr>
                <w:rFonts w:ascii="Arial" w:eastAsia="Times New Roman" w:hAnsi="Arial" w:cs="Arial"/>
                <w:b/>
                <w:bCs/>
                <w:color w:val="000000"/>
                <w:kern w:val="0"/>
                <w:lang w:eastAsia="en-GB"/>
              </w:rPr>
              <w:t> </w:t>
            </w:r>
          </w:p>
        </w:tc>
        <w:tc>
          <w:tcPr>
            <w:tcW w:w="1400" w:type="dxa"/>
            <w:tcBorders>
              <w:top w:val="nil"/>
              <w:left w:val="nil"/>
              <w:bottom w:val="single" w:sz="4" w:space="0" w:color="auto"/>
              <w:right w:val="single" w:sz="4" w:space="0" w:color="auto"/>
            </w:tcBorders>
            <w:shd w:val="clear" w:color="auto" w:fill="auto"/>
            <w:noWrap/>
            <w:vAlign w:val="bottom"/>
            <w:hideMark/>
          </w:tcPr>
          <w:p w:rsidR="00FB2DF9" w:rsidRPr="00FB2DF9" w:rsidRDefault="00FB2DF9" w:rsidP="00FB2DF9">
            <w:pPr>
              <w:tabs>
                <w:tab w:val="clear" w:pos="284"/>
              </w:tabs>
              <w:spacing w:line="240" w:lineRule="auto"/>
              <w:rPr>
                <w:rFonts w:ascii="Arial" w:eastAsia="Times New Roman" w:hAnsi="Arial" w:cs="Arial"/>
                <w:b/>
                <w:bCs/>
                <w:color w:val="000000"/>
                <w:kern w:val="0"/>
                <w:lang w:eastAsia="en-GB"/>
              </w:rPr>
            </w:pPr>
            <w:r w:rsidRPr="00FB2DF9">
              <w:rPr>
                <w:rFonts w:ascii="Arial" w:eastAsia="Times New Roman" w:hAnsi="Arial" w:cs="Arial"/>
                <w:b/>
                <w:bCs/>
                <w:color w:val="000000"/>
                <w:kern w:val="0"/>
                <w:lang w:eastAsia="en-GB"/>
              </w:rPr>
              <w:t>West Wittering</w:t>
            </w:r>
          </w:p>
        </w:tc>
        <w:tc>
          <w:tcPr>
            <w:tcW w:w="1720" w:type="dxa"/>
            <w:tcBorders>
              <w:top w:val="nil"/>
              <w:left w:val="nil"/>
              <w:bottom w:val="single" w:sz="4" w:space="0" w:color="auto"/>
              <w:right w:val="single" w:sz="4" w:space="0" w:color="auto"/>
            </w:tcBorders>
            <w:shd w:val="clear" w:color="auto" w:fill="auto"/>
            <w:noWrap/>
            <w:vAlign w:val="bottom"/>
            <w:hideMark/>
          </w:tcPr>
          <w:p w:rsidR="00FB2DF9" w:rsidRPr="00FB2DF9" w:rsidRDefault="00FB2DF9" w:rsidP="00FB2DF9">
            <w:pPr>
              <w:tabs>
                <w:tab w:val="clear" w:pos="284"/>
              </w:tabs>
              <w:spacing w:line="240" w:lineRule="auto"/>
              <w:rPr>
                <w:rFonts w:ascii="Arial" w:eastAsia="Times New Roman" w:hAnsi="Arial" w:cs="Arial"/>
                <w:b/>
                <w:bCs/>
                <w:color w:val="000000"/>
                <w:kern w:val="0"/>
                <w:lang w:eastAsia="en-GB"/>
              </w:rPr>
            </w:pPr>
            <w:r w:rsidRPr="00FB2DF9">
              <w:rPr>
                <w:rFonts w:ascii="Arial" w:eastAsia="Times New Roman" w:hAnsi="Arial" w:cs="Arial"/>
                <w:b/>
                <w:bCs/>
                <w:color w:val="000000"/>
                <w:kern w:val="0"/>
                <w:lang w:eastAsia="en-GB"/>
              </w:rPr>
              <w:t>Chichester</w:t>
            </w:r>
          </w:p>
        </w:tc>
        <w:tc>
          <w:tcPr>
            <w:tcW w:w="1400" w:type="dxa"/>
            <w:tcBorders>
              <w:top w:val="nil"/>
              <w:left w:val="nil"/>
              <w:bottom w:val="single" w:sz="4" w:space="0" w:color="auto"/>
              <w:right w:val="single" w:sz="8" w:space="0" w:color="auto"/>
            </w:tcBorders>
            <w:shd w:val="clear" w:color="auto" w:fill="auto"/>
            <w:noWrap/>
            <w:vAlign w:val="bottom"/>
            <w:hideMark/>
          </w:tcPr>
          <w:p w:rsidR="00FB2DF9" w:rsidRPr="00FB2DF9" w:rsidRDefault="00FB2DF9" w:rsidP="00FB2DF9">
            <w:pPr>
              <w:tabs>
                <w:tab w:val="clear" w:pos="284"/>
              </w:tabs>
              <w:spacing w:line="240" w:lineRule="auto"/>
              <w:rPr>
                <w:rFonts w:ascii="Arial" w:eastAsia="Times New Roman" w:hAnsi="Arial" w:cs="Arial"/>
                <w:b/>
                <w:bCs/>
                <w:color w:val="000000"/>
                <w:kern w:val="0"/>
                <w:lang w:eastAsia="en-GB"/>
              </w:rPr>
            </w:pPr>
            <w:r w:rsidRPr="00FB2DF9">
              <w:rPr>
                <w:rFonts w:ascii="Arial" w:eastAsia="Times New Roman" w:hAnsi="Arial" w:cs="Arial"/>
                <w:b/>
                <w:bCs/>
                <w:color w:val="000000"/>
                <w:kern w:val="0"/>
                <w:lang w:eastAsia="en-GB"/>
              </w:rPr>
              <w:t>England</w:t>
            </w:r>
          </w:p>
        </w:tc>
      </w:tr>
      <w:tr w:rsidR="00FB2DF9" w:rsidRPr="00FB2DF9" w:rsidTr="00FB2DF9">
        <w:trPr>
          <w:trHeight w:val="228"/>
        </w:trPr>
        <w:tc>
          <w:tcPr>
            <w:tcW w:w="2440" w:type="dxa"/>
            <w:tcBorders>
              <w:top w:val="nil"/>
              <w:left w:val="single" w:sz="8" w:space="0" w:color="auto"/>
              <w:bottom w:val="single" w:sz="4" w:space="0" w:color="auto"/>
              <w:right w:val="single" w:sz="4" w:space="0" w:color="auto"/>
            </w:tcBorders>
            <w:shd w:val="clear" w:color="auto" w:fill="auto"/>
            <w:noWrap/>
            <w:vAlign w:val="bottom"/>
            <w:hideMark/>
          </w:tcPr>
          <w:p w:rsidR="00FB2DF9" w:rsidRPr="00FB2DF9" w:rsidRDefault="00FB2DF9" w:rsidP="00FB2DF9">
            <w:pPr>
              <w:tabs>
                <w:tab w:val="clear" w:pos="284"/>
              </w:tabs>
              <w:spacing w:line="240" w:lineRule="auto"/>
              <w:rPr>
                <w:rFonts w:ascii="Arial" w:eastAsia="Times New Roman" w:hAnsi="Arial" w:cs="Arial"/>
                <w:color w:val="000000"/>
                <w:kern w:val="0"/>
                <w:lang w:eastAsia="en-GB"/>
              </w:rPr>
            </w:pPr>
            <w:r w:rsidRPr="00FB2DF9">
              <w:rPr>
                <w:rFonts w:ascii="Arial" w:eastAsia="Times New Roman" w:hAnsi="Arial" w:cs="Arial"/>
                <w:color w:val="000000"/>
                <w:kern w:val="0"/>
                <w:lang w:eastAsia="en-GB"/>
              </w:rPr>
              <w:t>One person household</w:t>
            </w:r>
          </w:p>
        </w:tc>
        <w:tc>
          <w:tcPr>
            <w:tcW w:w="2300" w:type="dxa"/>
            <w:tcBorders>
              <w:top w:val="nil"/>
              <w:left w:val="nil"/>
              <w:bottom w:val="single" w:sz="4" w:space="0" w:color="auto"/>
              <w:right w:val="single" w:sz="4" w:space="0" w:color="auto"/>
            </w:tcBorders>
            <w:shd w:val="clear" w:color="auto" w:fill="auto"/>
            <w:noWrap/>
            <w:vAlign w:val="bottom"/>
            <w:hideMark/>
          </w:tcPr>
          <w:p w:rsidR="00FB2DF9" w:rsidRPr="00FB2DF9" w:rsidRDefault="00FB2DF9" w:rsidP="00FB2DF9">
            <w:pPr>
              <w:tabs>
                <w:tab w:val="clear" w:pos="284"/>
              </w:tabs>
              <w:spacing w:line="240" w:lineRule="auto"/>
              <w:rPr>
                <w:rFonts w:ascii="Arial" w:eastAsia="Times New Roman" w:hAnsi="Arial" w:cs="Arial"/>
                <w:color w:val="000000"/>
                <w:kern w:val="0"/>
                <w:lang w:eastAsia="en-GB"/>
              </w:rPr>
            </w:pPr>
            <w:r w:rsidRPr="00FB2DF9">
              <w:rPr>
                <w:rFonts w:ascii="Arial" w:eastAsia="Times New Roman" w:hAnsi="Arial" w:cs="Arial"/>
                <w:color w:val="000000"/>
                <w:kern w:val="0"/>
                <w:lang w:eastAsia="en-GB"/>
              </w:rPr>
              <w:t>Total</w:t>
            </w:r>
          </w:p>
        </w:tc>
        <w:tc>
          <w:tcPr>
            <w:tcW w:w="1400" w:type="dxa"/>
            <w:tcBorders>
              <w:top w:val="nil"/>
              <w:left w:val="nil"/>
              <w:bottom w:val="single" w:sz="4" w:space="0" w:color="auto"/>
              <w:right w:val="single" w:sz="4" w:space="0" w:color="auto"/>
            </w:tcBorders>
            <w:shd w:val="clear" w:color="auto" w:fill="auto"/>
            <w:noWrap/>
            <w:vAlign w:val="bottom"/>
            <w:hideMark/>
          </w:tcPr>
          <w:p w:rsidR="00FB2DF9" w:rsidRPr="00FB2DF9" w:rsidRDefault="00FB2DF9" w:rsidP="00FB2DF9">
            <w:pPr>
              <w:tabs>
                <w:tab w:val="clear" w:pos="284"/>
              </w:tabs>
              <w:spacing w:line="240" w:lineRule="auto"/>
              <w:jc w:val="right"/>
              <w:rPr>
                <w:rFonts w:ascii="Arial" w:eastAsia="Times New Roman" w:hAnsi="Arial" w:cs="Arial"/>
                <w:color w:val="000000"/>
                <w:kern w:val="0"/>
                <w:lang w:eastAsia="en-GB"/>
              </w:rPr>
            </w:pPr>
            <w:r w:rsidRPr="00FB2DF9">
              <w:rPr>
                <w:rFonts w:ascii="Arial" w:eastAsia="Times New Roman" w:hAnsi="Arial" w:cs="Arial"/>
                <w:color w:val="000000"/>
                <w:kern w:val="0"/>
                <w:lang w:eastAsia="en-GB"/>
              </w:rPr>
              <w:t>13.2%</w:t>
            </w:r>
          </w:p>
        </w:tc>
        <w:tc>
          <w:tcPr>
            <w:tcW w:w="1720" w:type="dxa"/>
            <w:tcBorders>
              <w:top w:val="nil"/>
              <w:left w:val="nil"/>
              <w:bottom w:val="single" w:sz="4" w:space="0" w:color="auto"/>
              <w:right w:val="single" w:sz="4" w:space="0" w:color="auto"/>
            </w:tcBorders>
            <w:shd w:val="clear" w:color="auto" w:fill="auto"/>
            <w:noWrap/>
            <w:vAlign w:val="bottom"/>
            <w:hideMark/>
          </w:tcPr>
          <w:p w:rsidR="00FB2DF9" w:rsidRPr="00FB2DF9" w:rsidRDefault="00FB2DF9" w:rsidP="00FB2DF9">
            <w:pPr>
              <w:tabs>
                <w:tab w:val="clear" w:pos="284"/>
              </w:tabs>
              <w:spacing w:line="240" w:lineRule="auto"/>
              <w:jc w:val="right"/>
              <w:rPr>
                <w:rFonts w:ascii="Arial" w:eastAsia="Times New Roman" w:hAnsi="Arial" w:cs="Arial"/>
                <w:color w:val="000000"/>
                <w:kern w:val="0"/>
                <w:lang w:eastAsia="en-GB"/>
              </w:rPr>
            </w:pPr>
            <w:r w:rsidRPr="00FB2DF9">
              <w:rPr>
                <w:rFonts w:ascii="Arial" w:eastAsia="Times New Roman" w:hAnsi="Arial" w:cs="Arial"/>
                <w:color w:val="000000"/>
                <w:kern w:val="0"/>
                <w:lang w:eastAsia="en-GB"/>
              </w:rPr>
              <w:t>15.6%</w:t>
            </w:r>
          </w:p>
        </w:tc>
        <w:tc>
          <w:tcPr>
            <w:tcW w:w="1400" w:type="dxa"/>
            <w:tcBorders>
              <w:top w:val="nil"/>
              <w:left w:val="nil"/>
              <w:bottom w:val="single" w:sz="4" w:space="0" w:color="auto"/>
              <w:right w:val="single" w:sz="8" w:space="0" w:color="auto"/>
            </w:tcBorders>
            <w:shd w:val="clear" w:color="auto" w:fill="auto"/>
            <w:noWrap/>
            <w:vAlign w:val="bottom"/>
            <w:hideMark/>
          </w:tcPr>
          <w:p w:rsidR="00FB2DF9" w:rsidRPr="00FB2DF9" w:rsidRDefault="00FB2DF9" w:rsidP="00FB2DF9">
            <w:pPr>
              <w:tabs>
                <w:tab w:val="clear" w:pos="284"/>
              </w:tabs>
              <w:spacing w:line="240" w:lineRule="auto"/>
              <w:jc w:val="right"/>
              <w:rPr>
                <w:rFonts w:ascii="Arial" w:eastAsia="Times New Roman" w:hAnsi="Arial" w:cs="Arial"/>
                <w:color w:val="000000"/>
                <w:kern w:val="0"/>
                <w:lang w:eastAsia="en-GB"/>
              </w:rPr>
            </w:pPr>
            <w:r w:rsidRPr="00FB2DF9">
              <w:rPr>
                <w:rFonts w:ascii="Arial" w:eastAsia="Times New Roman" w:hAnsi="Arial" w:cs="Arial"/>
                <w:color w:val="000000"/>
                <w:kern w:val="0"/>
                <w:lang w:eastAsia="en-GB"/>
              </w:rPr>
              <w:t>8.4%</w:t>
            </w:r>
          </w:p>
        </w:tc>
      </w:tr>
      <w:tr w:rsidR="00FB2DF9" w:rsidRPr="00FB2DF9" w:rsidTr="00FB2DF9">
        <w:trPr>
          <w:trHeight w:val="228"/>
        </w:trPr>
        <w:tc>
          <w:tcPr>
            <w:tcW w:w="2440" w:type="dxa"/>
            <w:tcBorders>
              <w:top w:val="nil"/>
              <w:left w:val="single" w:sz="8" w:space="0" w:color="auto"/>
              <w:bottom w:val="single" w:sz="4" w:space="0" w:color="auto"/>
              <w:right w:val="single" w:sz="4" w:space="0" w:color="auto"/>
            </w:tcBorders>
            <w:shd w:val="clear" w:color="auto" w:fill="auto"/>
            <w:noWrap/>
            <w:vAlign w:val="bottom"/>
            <w:hideMark/>
          </w:tcPr>
          <w:p w:rsidR="00FB2DF9" w:rsidRPr="00FB2DF9" w:rsidRDefault="00FB2DF9" w:rsidP="00FB2DF9">
            <w:pPr>
              <w:tabs>
                <w:tab w:val="clear" w:pos="284"/>
              </w:tabs>
              <w:spacing w:line="240" w:lineRule="auto"/>
              <w:rPr>
                <w:rFonts w:ascii="Arial" w:eastAsia="Times New Roman" w:hAnsi="Arial" w:cs="Arial"/>
                <w:color w:val="000000"/>
                <w:kern w:val="0"/>
                <w:lang w:eastAsia="en-GB"/>
              </w:rPr>
            </w:pPr>
            <w:r w:rsidRPr="00FB2DF9">
              <w:rPr>
                <w:rFonts w:ascii="Arial" w:eastAsia="Times New Roman" w:hAnsi="Arial" w:cs="Arial"/>
                <w:color w:val="000000"/>
                <w:kern w:val="0"/>
                <w:lang w:eastAsia="en-GB"/>
              </w:rPr>
              <w:t> </w:t>
            </w:r>
          </w:p>
        </w:tc>
        <w:tc>
          <w:tcPr>
            <w:tcW w:w="2300" w:type="dxa"/>
            <w:tcBorders>
              <w:top w:val="nil"/>
              <w:left w:val="nil"/>
              <w:bottom w:val="single" w:sz="4" w:space="0" w:color="auto"/>
              <w:right w:val="single" w:sz="4" w:space="0" w:color="auto"/>
            </w:tcBorders>
            <w:shd w:val="clear" w:color="auto" w:fill="auto"/>
            <w:noWrap/>
            <w:vAlign w:val="bottom"/>
            <w:hideMark/>
          </w:tcPr>
          <w:p w:rsidR="00FB2DF9" w:rsidRPr="00FB2DF9" w:rsidRDefault="00FB2DF9" w:rsidP="00FB2DF9">
            <w:pPr>
              <w:tabs>
                <w:tab w:val="clear" w:pos="284"/>
              </w:tabs>
              <w:spacing w:line="240" w:lineRule="auto"/>
              <w:rPr>
                <w:rFonts w:ascii="Arial" w:eastAsia="Times New Roman" w:hAnsi="Arial" w:cs="Arial"/>
                <w:color w:val="000000"/>
                <w:kern w:val="0"/>
                <w:lang w:eastAsia="en-GB"/>
              </w:rPr>
            </w:pPr>
            <w:r w:rsidRPr="00FB2DF9">
              <w:rPr>
                <w:rFonts w:ascii="Arial" w:eastAsia="Times New Roman" w:hAnsi="Arial" w:cs="Arial"/>
                <w:color w:val="000000"/>
                <w:kern w:val="0"/>
                <w:lang w:eastAsia="en-GB"/>
              </w:rPr>
              <w:t>Aged 65 and over</w:t>
            </w:r>
          </w:p>
        </w:tc>
        <w:tc>
          <w:tcPr>
            <w:tcW w:w="1400" w:type="dxa"/>
            <w:tcBorders>
              <w:top w:val="nil"/>
              <w:left w:val="nil"/>
              <w:bottom w:val="single" w:sz="4" w:space="0" w:color="auto"/>
              <w:right w:val="single" w:sz="4" w:space="0" w:color="auto"/>
            </w:tcBorders>
            <w:shd w:val="clear" w:color="auto" w:fill="auto"/>
            <w:noWrap/>
            <w:vAlign w:val="bottom"/>
            <w:hideMark/>
          </w:tcPr>
          <w:p w:rsidR="00FB2DF9" w:rsidRPr="00FB2DF9" w:rsidRDefault="00FB2DF9" w:rsidP="00FB2DF9">
            <w:pPr>
              <w:tabs>
                <w:tab w:val="clear" w:pos="284"/>
              </w:tabs>
              <w:spacing w:line="240" w:lineRule="auto"/>
              <w:jc w:val="right"/>
              <w:rPr>
                <w:rFonts w:ascii="Arial" w:eastAsia="Times New Roman" w:hAnsi="Arial" w:cs="Arial"/>
                <w:color w:val="000000"/>
                <w:kern w:val="0"/>
                <w:lang w:eastAsia="en-GB"/>
              </w:rPr>
            </w:pPr>
            <w:r w:rsidRPr="00FB2DF9">
              <w:rPr>
                <w:rFonts w:ascii="Arial" w:eastAsia="Times New Roman" w:hAnsi="Arial" w:cs="Arial"/>
                <w:color w:val="000000"/>
                <w:kern w:val="0"/>
                <w:lang w:eastAsia="en-GB"/>
              </w:rPr>
              <w:t>2.3%</w:t>
            </w:r>
          </w:p>
        </w:tc>
        <w:tc>
          <w:tcPr>
            <w:tcW w:w="1720" w:type="dxa"/>
            <w:tcBorders>
              <w:top w:val="nil"/>
              <w:left w:val="nil"/>
              <w:bottom w:val="single" w:sz="4" w:space="0" w:color="auto"/>
              <w:right w:val="single" w:sz="4" w:space="0" w:color="auto"/>
            </w:tcBorders>
            <w:shd w:val="clear" w:color="auto" w:fill="auto"/>
            <w:noWrap/>
            <w:vAlign w:val="bottom"/>
            <w:hideMark/>
          </w:tcPr>
          <w:p w:rsidR="00FB2DF9" w:rsidRPr="00FB2DF9" w:rsidRDefault="00FB2DF9" w:rsidP="00FB2DF9">
            <w:pPr>
              <w:tabs>
                <w:tab w:val="clear" w:pos="284"/>
              </w:tabs>
              <w:spacing w:line="240" w:lineRule="auto"/>
              <w:jc w:val="right"/>
              <w:rPr>
                <w:rFonts w:ascii="Arial" w:eastAsia="Times New Roman" w:hAnsi="Arial" w:cs="Arial"/>
                <w:color w:val="000000"/>
                <w:kern w:val="0"/>
                <w:lang w:eastAsia="en-GB"/>
              </w:rPr>
            </w:pPr>
            <w:r w:rsidRPr="00FB2DF9">
              <w:rPr>
                <w:rFonts w:ascii="Arial" w:eastAsia="Times New Roman" w:hAnsi="Arial" w:cs="Arial"/>
                <w:color w:val="000000"/>
                <w:kern w:val="0"/>
                <w:lang w:eastAsia="en-GB"/>
              </w:rPr>
              <w:t>1.2%</w:t>
            </w:r>
          </w:p>
        </w:tc>
        <w:tc>
          <w:tcPr>
            <w:tcW w:w="1400" w:type="dxa"/>
            <w:tcBorders>
              <w:top w:val="nil"/>
              <w:left w:val="nil"/>
              <w:bottom w:val="single" w:sz="4" w:space="0" w:color="auto"/>
              <w:right w:val="single" w:sz="8" w:space="0" w:color="auto"/>
            </w:tcBorders>
            <w:shd w:val="clear" w:color="auto" w:fill="auto"/>
            <w:noWrap/>
            <w:vAlign w:val="bottom"/>
            <w:hideMark/>
          </w:tcPr>
          <w:p w:rsidR="00FB2DF9" w:rsidRPr="00FB2DF9" w:rsidRDefault="00FB2DF9" w:rsidP="00FB2DF9">
            <w:pPr>
              <w:tabs>
                <w:tab w:val="clear" w:pos="284"/>
              </w:tabs>
              <w:spacing w:line="240" w:lineRule="auto"/>
              <w:jc w:val="right"/>
              <w:rPr>
                <w:rFonts w:ascii="Arial" w:eastAsia="Times New Roman" w:hAnsi="Arial" w:cs="Arial"/>
                <w:color w:val="000000"/>
                <w:kern w:val="0"/>
                <w:lang w:eastAsia="en-GB"/>
              </w:rPr>
            </w:pPr>
            <w:r w:rsidRPr="00FB2DF9">
              <w:rPr>
                <w:rFonts w:ascii="Arial" w:eastAsia="Times New Roman" w:hAnsi="Arial" w:cs="Arial"/>
                <w:color w:val="000000"/>
                <w:kern w:val="0"/>
                <w:lang w:eastAsia="en-GB"/>
              </w:rPr>
              <w:t>-7.3%</w:t>
            </w:r>
          </w:p>
        </w:tc>
      </w:tr>
      <w:tr w:rsidR="00FB2DF9" w:rsidRPr="00FB2DF9" w:rsidTr="00FB2DF9">
        <w:trPr>
          <w:trHeight w:val="228"/>
        </w:trPr>
        <w:tc>
          <w:tcPr>
            <w:tcW w:w="2440" w:type="dxa"/>
            <w:tcBorders>
              <w:top w:val="nil"/>
              <w:left w:val="single" w:sz="8" w:space="0" w:color="auto"/>
              <w:bottom w:val="single" w:sz="4" w:space="0" w:color="auto"/>
              <w:right w:val="single" w:sz="4" w:space="0" w:color="auto"/>
            </w:tcBorders>
            <w:shd w:val="clear" w:color="auto" w:fill="auto"/>
            <w:noWrap/>
            <w:vAlign w:val="bottom"/>
            <w:hideMark/>
          </w:tcPr>
          <w:p w:rsidR="00FB2DF9" w:rsidRPr="00FB2DF9" w:rsidRDefault="00FB2DF9" w:rsidP="00FB2DF9">
            <w:pPr>
              <w:tabs>
                <w:tab w:val="clear" w:pos="284"/>
              </w:tabs>
              <w:spacing w:line="240" w:lineRule="auto"/>
              <w:rPr>
                <w:rFonts w:ascii="Arial" w:eastAsia="Times New Roman" w:hAnsi="Arial" w:cs="Arial"/>
                <w:color w:val="000000"/>
                <w:kern w:val="0"/>
                <w:lang w:eastAsia="en-GB"/>
              </w:rPr>
            </w:pPr>
            <w:r w:rsidRPr="00FB2DF9">
              <w:rPr>
                <w:rFonts w:ascii="Arial" w:eastAsia="Times New Roman" w:hAnsi="Arial" w:cs="Arial"/>
                <w:color w:val="000000"/>
                <w:kern w:val="0"/>
                <w:lang w:eastAsia="en-GB"/>
              </w:rPr>
              <w:t> </w:t>
            </w:r>
          </w:p>
        </w:tc>
        <w:tc>
          <w:tcPr>
            <w:tcW w:w="2300" w:type="dxa"/>
            <w:tcBorders>
              <w:top w:val="nil"/>
              <w:left w:val="nil"/>
              <w:bottom w:val="single" w:sz="4" w:space="0" w:color="auto"/>
              <w:right w:val="single" w:sz="4" w:space="0" w:color="auto"/>
            </w:tcBorders>
            <w:shd w:val="clear" w:color="auto" w:fill="auto"/>
            <w:noWrap/>
            <w:vAlign w:val="bottom"/>
            <w:hideMark/>
          </w:tcPr>
          <w:p w:rsidR="00FB2DF9" w:rsidRPr="00FB2DF9" w:rsidRDefault="00FB2DF9" w:rsidP="00FB2DF9">
            <w:pPr>
              <w:tabs>
                <w:tab w:val="clear" w:pos="284"/>
              </w:tabs>
              <w:spacing w:line="240" w:lineRule="auto"/>
              <w:rPr>
                <w:rFonts w:ascii="Arial" w:eastAsia="Times New Roman" w:hAnsi="Arial" w:cs="Arial"/>
                <w:color w:val="000000"/>
                <w:kern w:val="0"/>
                <w:lang w:eastAsia="en-GB"/>
              </w:rPr>
            </w:pPr>
            <w:r w:rsidRPr="00FB2DF9">
              <w:rPr>
                <w:rFonts w:ascii="Arial" w:eastAsia="Times New Roman" w:hAnsi="Arial" w:cs="Arial"/>
                <w:color w:val="000000"/>
                <w:kern w:val="0"/>
                <w:lang w:eastAsia="en-GB"/>
              </w:rPr>
              <w:t>Other</w:t>
            </w:r>
          </w:p>
        </w:tc>
        <w:tc>
          <w:tcPr>
            <w:tcW w:w="1400" w:type="dxa"/>
            <w:tcBorders>
              <w:top w:val="nil"/>
              <w:left w:val="nil"/>
              <w:bottom w:val="single" w:sz="4" w:space="0" w:color="auto"/>
              <w:right w:val="single" w:sz="4" w:space="0" w:color="auto"/>
            </w:tcBorders>
            <w:shd w:val="clear" w:color="auto" w:fill="auto"/>
            <w:noWrap/>
            <w:vAlign w:val="bottom"/>
            <w:hideMark/>
          </w:tcPr>
          <w:p w:rsidR="00FB2DF9" w:rsidRPr="00FB2DF9" w:rsidRDefault="00FB2DF9" w:rsidP="00FB2DF9">
            <w:pPr>
              <w:tabs>
                <w:tab w:val="clear" w:pos="284"/>
              </w:tabs>
              <w:spacing w:line="240" w:lineRule="auto"/>
              <w:jc w:val="right"/>
              <w:rPr>
                <w:rFonts w:ascii="Arial" w:eastAsia="Times New Roman" w:hAnsi="Arial" w:cs="Arial"/>
                <w:color w:val="000000"/>
                <w:kern w:val="0"/>
                <w:lang w:eastAsia="en-GB"/>
              </w:rPr>
            </w:pPr>
            <w:r w:rsidRPr="00FB2DF9">
              <w:rPr>
                <w:rFonts w:ascii="Arial" w:eastAsia="Times New Roman" w:hAnsi="Arial" w:cs="Arial"/>
                <w:color w:val="000000"/>
                <w:kern w:val="0"/>
                <w:lang w:eastAsia="en-GB"/>
              </w:rPr>
              <w:t>52.6%</w:t>
            </w:r>
          </w:p>
        </w:tc>
        <w:tc>
          <w:tcPr>
            <w:tcW w:w="1720" w:type="dxa"/>
            <w:tcBorders>
              <w:top w:val="nil"/>
              <w:left w:val="nil"/>
              <w:bottom w:val="single" w:sz="4" w:space="0" w:color="auto"/>
              <w:right w:val="single" w:sz="4" w:space="0" w:color="auto"/>
            </w:tcBorders>
            <w:shd w:val="clear" w:color="auto" w:fill="auto"/>
            <w:noWrap/>
            <w:vAlign w:val="bottom"/>
            <w:hideMark/>
          </w:tcPr>
          <w:p w:rsidR="00FB2DF9" w:rsidRPr="00FB2DF9" w:rsidRDefault="00FB2DF9" w:rsidP="00FB2DF9">
            <w:pPr>
              <w:tabs>
                <w:tab w:val="clear" w:pos="284"/>
              </w:tabs>
              <w:spacing w:line="240" w:lineRule="auto"/>
              <w:jc w:val="right"/>
              <w:rPr>
                <w:rFonts w:ascii="Arial" w:eastAsia="Times New Roman" w:hAnsi="Arial" w:cs="Arial"/>
                <w:color w:val="000000"/>
                <w:kern w:val="0"/>
                <w:lang w:eastAsia="en-GB"/>
              </w:rPr>
            </w:pPr>
            <w:r w:rsidRPr="00FB2DF9">
              <w:rPr>
                <w:rFonts w:ascii="Arial" w:eastAsia="Times New Roman" w:hAnsi="Arial" w:cs="Arial"/>
                <w:color w:val="000000"/>
                <w:kern w:val="0"/>
                <w:lang w:eastAsia="en-GB"/>
              </w:rPr>
              <w:t>38.8%</w:t>
            </w:r>
          </w:p>
        </w:tc>
        <w:tc>
          <w:tcPr>
            <w:tcW w:w="1400" w:type="dxa"/>
            <w:tcBorders>
              <w:top w:val="nil"/>
              <w:left w:val="nil"/>
              <w:bottom w:val="single" w:sz="4" w:space="0" w:color="auto"/>
              <w:right w:val="single" w:sz="8" w:space="0" w:color="auto"/>
            </w:tcBorders>
            <w:shd w:val="clear" w:color="auto" w:fill="auto"/>
            <w:noWrap/>
            <w:vAlign w:val="bottom"/>
            <w:hideMark/>
          </w:tcPr>
          <w:p w:rsidR="00FB2DF9" w:rsidRPr="00FB2DF9" w:rsidRDefault="00FB2DF9" w:rsidP="00FB2DF9">
            <w:pPr>
              <w:tabs>
                <w:tab w:val="clear" w:pos="284"/>
              </w:tabs>
              <w:spacing w:line="240" w:lineRule="auto"/>
              <w:jc w:val="right"/>
              <w:rPr>
                <w:rFonts w:ascii="Arial" w:eastAsia="Times New Roman" w:hAnsi="Arial" w:cs="Arial"/>
                <w:color w:val="000000"/>
                <w:kern w:val="0"/>
                <w:lang w:eastAsia="en-GB"/>
              </w:rPr>
            </w:pPr>
            <w:r w:rsidRPr="00FB2DF9">
              <w:rPr>
                <w:rFonts w:ascii="Arial" w:eastAsia="Times New Roman" w:hAnsi="Arial" w:cs="Arial"/>
                <w:color w:val="000000"/>
                <w:kern w:val="0"/>
                <w:lang w:eastAsia="en-GB"/>
              </w:rPr>
              <w:t>22.7%</w:t>
            </w:r>
          </w:p>
        </w:tc>
      </w:tr>
      <w:tr w:rsidR="00FB2DF9" w:rsidRPr="00FB2DF9" w:rsidTr="00FB2DF9">
        <w:trPr>
          <w:trHeight w:val="228"/>
        </w:trPr>
        <w:tc>
          <w:tcPr>
            <w:tcW w:w="2440" w:type="dxa"/>
            <w:tcBorders>
              <w:top w:val="nil"/>
              <w:left w:val="single" w:sz="8" w:space="0" w:color="auto"/>
              <w:bottom w:val="single" w:sz="4" w:space="0" w:color="auto"/>
              <w:right w:val="single" w:sz="4" w:space="0" w:color="auto"/>
            </w:tcBorders>
            <w:shd w:val="clear" w:color="auto" w:fill="auto"/>
            <w:noWrap/>
            <w:vAlign w:val="bottom"/>
            <w:hideMark/>
          </w:tcPr>
          <w:p w:rsidR="00FB2DF9" w:rsidRPr="00FB2DF9" w:rsidRDefault="00FB2DF9" w:rsidP="00FB2DF9">
            <w:pPr>
              <w:tabs>
                <w:tab w:val="clear" w:pos="284"/>
              </w:tabs>
              <w:spacing w:line="240" w:lineRule="auto"/>
              <w:rPr>
                <w:rFonts w:ascii="Arial" w:eastAsia="Times New Roman" w:hAnsi="Arial" w:cs="Arial"/>
                <w:color w:val="000000"/>
                <w:kern w:val="0"/>
                <w:lang w:eastAsia="en-GB"/>
              </w:rPr>
            </w:pPr>
            <w:r w:rsidRPr="00FB2DF9">
              <w:rPr>
                <w:rFonts w:ascii="Arial" w:eastAsia="Times New Roman" w:hAnsi="Arial" w:cs="Arial"/>
                <w:color w:val="000000"/>
                <w:kern w:val="0"/>
                <w:lang w:eastAsia="en-GB"/>
              </w:rPr>
              <w:t>One family only</w:t>
            </w:r>
          </w:p>
        </w:tc>
        <w:tc>
          <w:tcPr>
            <w:tcW w:w="2300" w:type="dxa"/>
            <w:tcBorders>
              <w:top w:val="nil"/>
              <w:left w:val="nil"/>
              <w:bottom w:val="single" w:sz="4" w:space="0" w:color="auto"/>
              <w:right w:val="single" w:sz="4" w:space="0" w:color="auto"/>
            </w:tcBorders>
            <w:shd w:val="clear" w:color="auto" w:fill="auto"/>
            <w:noWrap/>
            <w:vAlign w:val="bottom"/>
            <w:hideMark/>
          </w:tcPr>
          <w:p w:rsidR="00FB2DF9" w:rsidRPr="00FB2DF9" w:rsidRDefault="00FB2DF9" w:rsidP="00FB2DF9">
            <w:pPr>
              <w:tabs>
                <w:tab w:val="clear" w:pos="284"/>
              </w:tabs>
              <w:spacing w:line="240" w:lineRule="auto"/>
              <w:rPr>
                <w:rFonts w:ascii="Arial" w:eastAsia="Times New Roman" w:hAnsi="Arial" w:cs="Arial"/>
                <w:color w:val="000000"/>
                <w:kern w:val="0"/>
                <w:lang w:eastAsia="en-GB"/>
              </w:rPr>
            </w:pPr>
            <w:r w:rsidRPr="00FB2DF9">
              <w:rPr>
                <w:rFonts w:ascii="Arial" w:eastAsia="Times New Roman" w:hAnsi="Arial" w:cs="Arial"/>
                <w:color w:val="000000"/>
                <w:kern w:val="0"/>
                <w:lang w:eastAsia="en-GB"/>
              </w:rPr>
              <w:t>Total</w:t>
            </w:r>
          </w:p>
        </w:tc>
        <w:tc>
          <w:tcPr>
            <w:tcW w:w="1400" w:type="dxa"/>
            <w:tcBorders>
              <w:top w:val="nil"/>
              <w:left w:val="nil"/>
              <w:bottom w:val="single" w:sz="4" w:space="0" w:color="auto"/>
              <w:right w:val="single" w:sz="4" w:space="0" w:color="auto"/>
            </w:tcBorders>
            <w:shd w:val="clear" w:color="auto" w:fill="auto"/>
            <w:noWrap/>
            <w:vAlign w:val="bottom"/>
            <w:hideMark/>
          </w:tcPr>
          <w:p w:rsidR="00FB2DF9" w:rsidRPr="00FB2DF9" w:rsidRDefault="00FB2DF9" w:rsidP="00FB2DF9">
            <w:pPr>
              <w:tabs>
                <w:tab w:val="clear" w:pos="284"/>
              </w:tabs>
              <w:spacing w:line="240" w:lineRule="auto"/>
              <w:jc w:val="right"/>
              <w:rPr>
                <w:rFonts w:ascii="Arial" w:eastAsia="Times New Roman" w:hAnsi="Arial" w:cs="Arial"/>
                <w:color w:val="000000"/>
                <w:kern w:val="0"/>
                <w:lang w:eastAsia="en-GB"/>
              </w:rPr>
            </w:pPr>
            <w:r w:rsidRPr="00FB2DF9">
              <w:rPr>
                <w:rFonts w:ascii="Arial" w:eastAsia="Times New Roman" w:hAnsi="Arial" w:cs="Arial"/>
                <w:color w:val="000000"/>
                <w:kern w:val="0"/>
                <w:lang w:eastAsia="en-GB"/>
              </w:rPr>
              <w:t>-7.1%</w:t>
            </w:r>
          </w:p>
        </w:tc>
        <w:tc>
          <w:tcPr>
            <w:tcW w:w="1720" w:type="dxa"/>
            <w:tcBorders>
              <w:top w:val="nil"/>
              <w:left w:val="nil"/>
              <w:bottom w:val="single" w:sz="4" w:space="0" w:color="auto"/>
              <w:right w:val="single" w:sz="4" w:space="0" w:color="auto"/>
            </w:tcBorders>
            <w:shd w:val="clear" w:color="auto" w:fill="auto"/>
            <w:noWrap/>
            <w:vAlign w:val="bottom"/>
            <w:hideMark/>
          </w:tcPr>
          <w:p w:rsidR="00FB2DF9" w:rsidRPr="00FB2DF9" w:rsidRDefault="00FB2DF9" w:rsidP="00FB2DF9">
            <w:pPr>
              <w:tabs>
                <w:tab w:val="clear" w:pos="284"/>
              </w:tabs>
              <w:spacing w:line="240" w:lineRule="auto"/>
              <w:jc w:val="right"/>
              <w:rPr>
                <w:rFonts w:ascii="Arial" w:eastAsia="Times New Roman" w:hAnsi="Arial" w:cs="Arial"/>
                <w:color w:val="000000"/>
                <w:kern w:val="0"/>
                <w:lang w:eastAsia="en-GB"/>
              </w:rPr>
            </w:pPr>
            <w:r w:rsidRPr="00FB2DF9">
              <w:rPr>
                <w:rFonts w:ascii="Arial" w:eastAsia="Times New Roman" w:hAnsi="Arial" w:cs="Arial"/>
                <w:color w:val="000000"/>
                <w:kern w:val="0"/>
                <w:lang w:eastAsia="en-GB"/>
              </w:rPr>
              <w:t>4.9%</w:t>
            </w:r>
          </w:p>
        </w:tc>
        <w:tc>
          <w:tcPr>
            <w:tcW w:w="1400" w:type="dxa"/>
            <w:tcBorders>
              <w:top w:val="nil"/>
              <w:left w:val="nil"/>
              <w:bottom w:val="single" w:sz="4" w:space="0" w:color="auto"/>
              <w:right w:val="single" w:sz="8" w:space="0" w:color="auto"/>
            </w:tcBorders>
            <w:shd w:val="clear" w:color="auto" w:fill="auto"/>
            <w:noWrap/>
            <w:vAlign w:val="bottom"/>
            <w:hideMark/>
          </w:tcPr>
          <w:p w:rsidR="00FB2DF9" w:rsidRPr="00FB2DF9" w:rsidRDefault="00FB2DF9" w:rsidP="00FB2DF9">
            <w:pPr>
              <w:tabs>
                <w:tab w:val="clear" w:pos="284"/>
              </w:tabs>
              <w:spacing w:line="240" w:lineRule="auto"/>
              <w:jc w:val="right"/>
              <w:rPr>
                <w:rFonts w:ascii="Arial" w:eastAsia="Times New Roman" w:hAnsi="Arial" w:cs="Arial"/>
                <w:color w:val="000000"/>
                <w:kern w:val="0"/>
                <w:lang w:eastAsia="en-GB"/>
              </w:rPr>
            </w:pPr>
            <w:r w:rsidRPr="00FB2DF9">
              <w:rPr>
                <w:rFonts w:ascii="Arial" w:eastAsia="Times New Roman" w:hAnsi="Arial" w:cs="Arial"/>
                <w:color w:val="000000"/>
                <w:kern w:val="0"/>
                <w:lang w:eastAsia="en-GB"/>
              </w:rPr>
              <w:t>5.4%</w:t>
            </w:r>
          </w:p>
        </w:tc>
      </w:tr>
      <w:tr w:rsidR="00FB2DF9" w:rsidRPr="00FB2DF9" w:rsidTr="00FB2DF9">
        <w:trPr>
          <w:trHeight w:val="228"/>
        </w:trPr>
        <w:tc>
          <w:tcPr>
            <w:tcW w:w="2440" w:type="dxa"/>
            <w:tcBorders>
              <w:top w:val="nil"/>
              <w:left w:val="single" w:sz="8" w:space="0" w:color="auto"/>
              <w:bottom w:val="single" w:sz="4" w:space="0" w:color="auto"/>
              <w:right w:val="single" w:sz="4" w:space="0" w:color="auto"/>
            </w:tcBorders>
            <w:shd w:val="clear" w:color="auto" w:fill="auto"/>
            <w:noWrap/>
            <w:vAlign w:val="bottom"/>
            <w:hideMark/>
          </w:tcPr>
          <w:p w:rsidR="00FB2DF9" w:rsidRPr="00FB2DF9" w:rsidRDefault="00FB2DF9" w:rsidP="00FB2DF9">
            <w:pPr>
              <w:tabs>
                <w:tab w:val="clear" w:pos="284"/>
              </w:tabs>
              <w:spacing w:line="240" w:lineRule="auto"/>
              <w:rPr>
                <w:rFonts w:ascii="Arial" w:eastAsia="Times New Roman" w:hAnsi="Arial" w:cs="Arial"/>
                <w:color w:val="000000"/>
                <w:kern w:val="0"/>
                <w:lang w:eastAsia="en-GB"/>
              </w:rPr>
            </w:pPr>
            <w:r w:rsidRPr="00FB2DF9">
              <w:rPr>
                <w:rFonts w:ascii="Arial" w:eastAsia="Times New Roman" w:hAnsi="Arial" w:cs="Arial"/>
                <w:color w:val="000000"/>
                <w:kern w:val="0"/>
                <w:lang w:eastAsia="en-GB"/>
              </w:rPr>
              <w:t> </w:t>
            </w:r>
          </w:p>
        </w:tc>
        <w:tc>
          <w:tcPr>
            <w:tcW w:w="2300" w:type="dxa"/>
            <w:tcBorders>
              <w:top w:val="nil"/>
              <w:left w:val="nil"/>
              <w:bottom w:val="single" w:sz="4" w:space="0" w:color="auto"/>
              <w:right w:val="single" w:sz="4" w:space="0" w:color="auto"/>
            </w:tcBorders>
            <w:shd w:val="clear" w:color="auto" w:fill="auto"/>
            <w:noWrap/>
            <w:vAlign w:val="bottom"/>
            <w:hideMark/>
          </w:tcPr>
          <w:p w:rsidR="00FB2DF9" w:rsidRPr="00FB2DF9" w:rsidRDefault="00FB2DF9" w:rsidP="00FB2DF9">
            <w:pPr>
              <w:tabs>
                <w:tab w:val="clear" w:pos="284"/>
              </w:tabs>
              <w:spacing w:line="240" w:lineRule="auto"/>
              <w:rPr>
                <w:rFonts w:ascii="Arial" w:eastAsia="Times New Roman" w:hAnsi="Arial" w:cs="Arial"/>
                <w:color w:val="000000"/>
                <w:kern w:val="0"/>
                <w:lang w:eastAsia="en-GB"/>
              </w:rPr>
            </w:pPr>
            <w:r w:rsidRPr="00FB2DF9">
              <w:rPr>
                <w:rFonts w:ascii="Arial" w:eastAsia="Times New Roman" w:hAnsi="Arial" w:cs="Arial"/>
                <w:color w:val="000000"/>
                <w:kern w:val="0"/>
                <w:lang w:eastAsia="en-GB"/>
              </w:rPr>
              <w:t>All aged 65 and over</w:t>
            </w:r>
          </w:p>
        </w:tc>
        <w:tc>
          <w:tcPr>
            <w:tcW w:w="1400" w:type="dxa"/>
            <w:tcBorders>
              <w:top w:val="nil"/>
              <w:left w:val="nil"/>
              <w:bottom w:val="single" w:sz="4" w:space="0" w:color="auto"/>
              <w:right w:val="single" w:sz="4" w:space="0" w:color="auto"/>
            </w:tcBorders>
            <w:shd w:val="clear" w:color="auto" w:fill="auto"/>
            <w:noWrap/>
            <w:vAlign w:val="bottom"/>
            <w:hideMark/>
          </w:tcPr>
          <w:p w:rsidR="00FB2DF9" w:rsidRPr="00FB2DF9" w:rsidRDefault="00FB2DF9" w:rsidP="00FB2DF9">
            <w:pPr>
              <w:tabs>
                <w:tab w:val="clear" w:pos="284"/>
              </w:tabs>
              <w:spacing w:line="240" w:lineRule="auto"/>
              <w:jc w:val="right"/>
              <w:rPr>
                <w:rFonts w:ascii="Arial" w:eastAsia="Times New Roman" w:hAnsi="Arial" w:cs="Arial"/>
                <w:color w:val="000000"/>
                <w:kern w:val="0"/>
                <w:lang w:eastAsia="en-GB"/>
              </w:rPr>
            </w:pPr>
            <w:r w:rsidRPr="00FB2DF9">
              <w:rPr>
                <w:rFonts w:ascii="Arial" w:eastAsia="Times New Roman" w:hAnsi="Arial" w:cs="Arial"/>
                <w:color w:val="000000"/>
                <w:kern w:val="0"/>
                <w:lang w:eastAsia="en-GB"/>
              </w:rPr>
              <w:t>-7.7%</w:t>
            </w:r>
          </w:p>
        </w:tc>
        <w:tc>
          <w:tcPr>
            <w:tcW w:w="1720" w:type="dxa"/>
            <w:tcBorders>
              <w:top w:val="nil"/>
              <w:left w:val="nil"/>
              <w:bottom w:val="single" w:sz="4" w:space="0" w:color="auto"/>
              <w:right w:val="single" w:sz="4" w:space="0" w:color="auto"/>
            </w:tcBorders>
            <w:shd w:val="clear" w:color="auto" w:fill="auto"/>
            <w:noWrap/>
            <w:vAlign w:val="bottom"/>
            <w:hideMark/>
          </w:tcPr>
          <w:p w:rsidR="00FB2DF9" w:rsidRPr="00FB2DF9" w:rsidRDefault="00FB2DF9" w:rsidP="00FB2DF9">
            <w:pPr>
              <w:tabs>
                <w:tab w:val="clear" w:pos="284"/>
              </w:tabs>
              <w:spacing w:line="240" w:lineRule="auto"/>
              <w:jc w:val="right"/>
              <w:rPr>
                <w:rFonts w:ascii="Arial" w:eastAsia="Times New Roman" w:hAnsi="Arial" w:cs="Arial"/>
                <w:color w:val="000000"/>
                <w:kern w:val="0"/>
                <w:lang w:eastAsia="en-GB"/>
              </w:rPr>
            </w:pPr>
            <w:r w:rsidRPr="00FB2DF9">
              <w:rPr>
                <w:rFonts w:ascii="Arial" w:eastAsia="Times New Roman" w:hAnsi="Arial" w:cs="Arial"/>
                <w:color w:val="000000"/>
                <w:kern w:val="0"/>
                <w:lang w:eastAsia="en-GB"/>
              </w:rPr>
              <w:t>-1.6%</w:t>
            </w:r>
          </w:p>
        </w:tc>
        <w:tc>
          <w:tcPr>
            <w:tcW w:w="1400" w:type="dxa"/>
            <w:tcBorders>
              <w:top w:val="nil"/>
              <w:left w:val="nil"/>
              <w:bottom w:val="single" w:sz="4" w:space="0" w:color="auto"/>
              <w:right w:val="single" w:sz="8" w:space="0" w:color="auto"/>
            </w:tcBorders>
            <w:shd w:val="clear" w:color="auto" w:fill="auto"/>
            <w:noWrap/>
            <w:vAlign w:val="bottom"/>
            <w:hideMark/>
          </w:tcPr>
          <w:p w:rsidR="00FB2DF9" w:rsidRPr="00FB2DF9" w:rsidRDefault="00FB2DF9" w:rsidP="00FB2DF9">
            <w:pPr>
              <w:tabs>
                <w:tab w:val="clear" w:pos="284"/>
              </w:tabs>
              <w:spacing w:line="240" w:lineRule="auto"/>
              <w:jc w:val="right"/>
              <w:rPr>
                <w:rFonts w:ascii="Arial" w:eastAsia="Times New Roman" w:hAnsi="Arial" w:cs="Arial"/>
                <w:color w:val="000000"/>
                <w:kern w:val="0"/>
                <w:lang w:eastAsia="en-GB"/>
              </w:rPr>
            </w:pPr>
            <w:r w:rsidRPr="00FB2DF9">
              <w:rPr>
                <w:rFonts w:ascii="Arial" w:eastAsia="Times New Roman" w:hAnsi="Arial" w:cs="Arial"/>
                <w:color w:val="000000"/>
                <w:kern w:val="0"/>
                <w:lang w:eastAsia="en-GB"/>
              </w:rPr>
              <w:t>-2.0%</w:t>
            </w:r>
          </w:p>
        </w:tc>
      </w:tr>
      <w:tr w:rsidR="00FB2DF9" w:rsidRPr="00FB2DF9" w:rsidTr="00FB2DF9">
        <w:trPr>
          <w:trHeight w:val="228"/>
        </w:trPr>
        <w:tc>
          <w:tcPr>
            <w:tcW w:w="2440" w:type="dxa"/>
            <w:tcBorders>
              <w:top w:val="nil"/>
              <w:left w:val="single" w:sz="8" w:space="0" w:color="auto"/>
              <w:bottom w:val="single" w:sz="4" w:space="0" w:color="auto"/>
              <w:right w:val="single" w:sz="4" w:space="0" w:color="auto"/>
            </w:tcBorders>
            <w:shd w:val="clear" w:color="auto" w:fill="auto"/>
            <w:noWrap/>
            <w:vAlign w:val="bottom"/>
            <w:hideMark/>
          </w:tcPr>
          <w:p w:rsidR="00FB2DF9" w:rsidRPr="00FB2DF9" w:rsidRDefault="00FB2DF9" w:rsidP="00FB2DF9">
            <w:pPr>
              <w:tabs>
                <w:tab w:val="clear" w:pos="284"/>
              </w:tabs>
              <w:spacing w:line="240" w:lineRule="auto"/>
              <w:rPr>
                <w:rFonts w:ascii="Arial" w:eastAsia="Times New Roman" w:hAnsi="Arial" w:cs="Arial"/>
                <w:color w:val="000000"/>
                <w:kern w:val="0"/>
                <w:lang w:eastAsia="en-GB"/>
              </w:rPr>
            </w:pPr>
            <w:r w:rsidRPr="00FB2DF9">
              <w:rPr>
                <w:rFonts w:ascii="Arial" w:eastAsia="Times New Roman" w:hAnsi="Arial" w:cs="Arial"/>
                <w:color w:val="000000"/>
                <w:kern w:val="0"/>
                <w:lang w:eastAsia="en-GB"/>
              </w:rPr>
              <w:t> </w:t>
            </w:r>
          </w:p>
        </w:tc>
        <w:tc>
          <w:tcPr>
            <w:tcW w:w="2300" w:type="dxa"/>
            <w:tcBorders>
              <w:top w:val="nil"/>
              <w:left w:val="nil"/>
              <w:bottom w:val="single" w:sz="4" w:space="0" w:color="auto"/>
              <w:right w:val="single" w:sz="4" w:space="0" w:color="auto"/>
            </w:tcBorders>
            <w:shd w:val="clear" w:color="auto" w:fill="auto"/>
            <w:noWrap/>
            <w:vAlign w:val="bottom"/>
            <w:hideMark/>
          </w:tcPr>
          <w:p w:rsidR="00FB2DF9" w:rsidRPr="00FB2DF9" w:rsidRDefault="00FB2DF9" w:rsidP="00FB2DF9">
            <w:pPr>
              <w:tabs>
                <w:tab w:val="clear" w:pos="284"/>
              </w:tabs>
              <w:spacing w:line="240" w:lineRule="auto"/>
              <w:rPr>
                <w:rFonts w:ascii="Arial" w:eastAsia="Times New Roman" w:hAnsi="Arial" w:cs="Arial"/>
                <w:color w:val="000000"/>
                <w:kern w:val="0"/>
                <w:lang w:eastAsia="en-GB"/>
              </w:rPr>
            </w:pPr>
            <w:r w:rsidRPr="00FB2DF9">
              <w:rPr>
                <w:rFonts w:ascii="Arial" w:eastAsia="Times New Roman" w:hAnsi="Arial" w:cs="Arial"/>
                <w:color w:val="000000"/>
                <w:kern w:val="0"/>
                <w:lang w:eastAsia="en-GB"/>
              </w:rPr>
              <w:t>With no children</w:t>
            </w:r>
          </w:p>
        </w:tc>
        <w:tc>
          <w:tcPr>
            <w:tcW w:w="1400" w:type="dxa"/>
            <w:tcBorders>
              <w:top w:val="nil"/>
              <w:left w:val="nil"/>
              <w:bottom w:val="single" w:sz="4" w:space="0" w:color="auto"/>
              <w:right w:val="single" w:sz="4" w:space="0" w:color="auto"/>
            </w:tcBorders>
            <w:shd w:val="clear" w:color="auto" w:fill="auto"/>
            <w:noWrap/>
            <w:vAlign w:val="bottom"/>
            <w:hideMark/>
          </w:tcPr>
          <w:p w:rsidR="00FB2DF9" w:rsidRPr="00FB2DF9" w:rsidRDefault="00FB2DF9" w:rsidP="00FB2DF9">
            <w:pPr>
              <w:tabs>
                <w:tab w:val="clear" w:pos="284"/>
              </w:tabs>
              <w:spacing w:line="240" w:lineRule="auto"/>
              <w:jc w:val="right"/>
              <w:rPr>
                <w:rFonts w:ascii="Arial" w:eastAsia="Times New Roman" w:hAnsi="Arial" w:cs="Arial"/>
                <w:color w:val="000000"/>
                <w:kern w:val="0"/>
                <w:lang w:eastAsia="en-GB"/>
              </w:rPr>
            </w:pPr>
            <w:r w:rsidRPr="00FB2DF9">
              <w:rPr>
                <w:rFonts w:ascii="Arial" w:eastAsia="Times New Roman" w:hAnsi="Arial" w:cs="Arial"/>
                <w:color w:val="000000"/>
                <w:kern w:val="0"/>
                <w:lang w:eastAsia="en-GB"/>
              </w:rPr>
              <w:t>-5.9%</w:t>
            </w:r>
          </w:p>
        </w:tc>
        <w:tc>
          <w:tcPr>
            <w:tcW w:w="1720" w:type="dxa"/>
            <w:tcBorders>
              <w:top w:val="nil"/>
              <w:left w:val="nil"/>
              <w:bottom w:val="single" w:sz="4" w:space="0" w:color="auto"/>
              <w:right w:val="single" w:sz="4" w:space="0" w:color="auto"/>
            </w:tcBorders>
            <w:shd w:val="clear" w:color="auto" w:fill="auto"/>
            <w:noWrap/>
            <w:vAlign w:val="bottom"/>
            <w:hideMark/>
          </w:tcPr>
          <w:p w:rsidR="00FB2DF9" w:rsidRPr="00FB2DF9" w:rsidRDefault="00FB2DF9" w:rsidP="00FB2DF9">
            <w:pPr>
              <w:tabs>
                <w:tab w:val="clear" w:pos="284"/>
              </w:tabs>
              <w:spacing w:line="240" w:lineRule="auto"/>
              <w:jc w:val="right"/>
              <w:rPr>
                <w:rFonts w:ascii="Arial" w:eastAsia="Times New Roman" w:hAnsi="Arial" w:cs="Arial"/>
                <w:color w:val="000000"/>
                <w:kern w:val="0"/>
                <w:lang w:eastAsia="en-GB"/>
              </w:rPr>
            </w:pPr>
            <w:r w:rsidRPr="00FB2DF9">
              <w:rPr>
                <w:rFonts w:ascii="Arial" w:eastAsia="Times New Roman" w:hAnsi="Arial" w:cs="Arial"/>
                <w:color w:val="000000"/>
                <w:kern w:val="0"/>
                <w:lang w:eastAsia="en-GB"/>
              </w:rPr>
              <w:t>7.1%</w:t>
            </w:r>
          </w:p>
        </w:tc>
        <w:tc>
          <w:tcPr>
            <w:tcW w:w="1400" w:type="dxa"/>
            <w:tcBorders>
              <w:top w:val="nil"/>
              <w:left w:val="nil"/>
              <w:bottom w:val="single" w:sz="4" w:space="0" w:color="auto"/>
              <w:right w:val="single" w:sz="8" w:space="0" w:color="auto"/>
            </w:tcBorders>
            <w:shd w:val="clear" w:color="auto" w:fill="auto"/>
            <w:noWrap/>
            <w:vAlign w:val="bottom"/>
            <w:hideMark/>
          </w:tcPr>
          <w:p w:rsidR="00FB2DF9" w:rsidRPr="00FB2DF9" w:rsidRDefault="00FB2DF9" w:rsidP="00FB2DF9">
            <w:pPr>
              <w:tabs>
                <w:tab w:val="clear" w:pos="284"/>
              </w:tabs>
              <w:spacing w:line="240" w:lineRule="auto"/>
              <w:jc w:val="right"/>
              <w:rPr>
                <w:rFonts w:ascii="Arial" w:eastAsia="Times New Roman" w:hAnsi="Arial" w:cs="Arial"/>
                <w:color w:val="000000"/>
                <w:kern w:val="0"/>
                <w:lang w:eastAsia="en-GB"/>
              </w:rPr>
            </w:pPr>
            <w:r w:rsidRPr="00FB2DF9">
              <w:rPr>
                <w:rFonts w:ascii="Arial" w:eastAsia="Times New Roman" w:hAnsi="Arial" w:cs="Arial"/>
                <w:color w:val="000000"/>
                <w:kern w:val="0"/>
                <w:lang w:eastAsia="en-GB"/>
              </w:rPr>
              <w:t>7.1%</w:t>
            </w:r>
          </w:p>
        </w:tc>
      </w:tr>
      <w:tr w:rsidR="00FB2DF9" w:rsidRPr="00FB2DF9" w:rsidTr="00FB2DF9">
        <w:trPr>
          <w:trHeight w:val="228"/>
        </w:trPr>
        <w:tc>
          <w:tcPr>
            <w:tcW w:w="2440" w:type="dxa"/>
            <w:tcBorders>
              <w:top w:val="nil"/>
              <w:left w:val="single" w:sz="8" w:space="0" w:color="auto"/>
              <w:bottom w:val="single" w:sz="4" w:space="0" w:color="auto"/>
              <w:right w:val="single" w:sz="4" w:space="0" w:color="auto"/>
            </w:tcBorders>
            <w:shd w:val="clear" w:color="auto" w:fill="auto"/>
            <w:noWrap/>
            <w:vAlign w:val="bottom"/>
            <w:hideMark/>
          </w:tcPr>
          <w:p w:rsidR="00FB2DF9" w:rsidRPr="00FB2DF9" w:rsidRDefault="00FB2DF9" w:rsidP="00FB2DF9">
            <w:pPr>
              <w:tabs>
                <w:tab w:val="clear" w:pos="284"/>
              </w:tabs>
              <w:spacing w:line="240" w:lineRule="auto"/>
              <w:rPr>
                <w:rFonts w:ascii="Arial" w:eastAsia="Times New Roman" w:hAnsi="Arial" w:cs="Arial"/>
                <w:color w:val="000000"/>
                <w:kern w:val="0"/>
                <w:lang w:eastAsia="en-GB"/>
              </w:rPr>
            </w:pPr>
            <w:r w:rsidRPr="00FB2DF9">
              <w:rPr>
                <w:rFonts w:ascii="Arial" w:eastAsia="Times New Roman" w:hAnsi="Arial" w:cs="Arial"/>
                <w:color w:val="000000"/>
                <w:kern w:val="0"/>
                <w:lang w:eastAsia="en-GB"/>
              </w:rPr>
              <w:t> </w:t>
            </w:r>
          </w:p>
        </w:tc>
        <w:tc>
          <w:tcPr>
            <w:tcW w:w="2300" w:type="dxa"/>
            <w:tcBorders>
              <w:top w:val="nil"/>
              <w:left w:val="nil"/>
              <w:bottom w:val="single" w:sz="4" w:space="0" w:color="auto"/>
              <w:right w:val="single" w:sz="4" w:space="0" w:color="auto"/>
            </w:tcBorders>
            <w:shd w:val="clear" w:color="auto" w:fill="auto"/>
            <w:noWrap/>
            <w:vAlign w:val="bottom"/>
            <w:hideMark/>
          </w:tcPr>
          <w:p w:rsidR="00FB2DF9" w:rsidRPr="00FB2DF9" w:rsidRDefault="00FB2DF9" w:rsidP="00FB2DF9">
            <w:pPr>
              <w:tabs>
                <w:tab w:val="clear" w:pos="284"/>
              </w:tabs>
              <w:spacing w:line="240" w:lineRule="auto"/>
              <w:rPr>
                <w:rFonts w:ascii="Arial" w:eastAsia="Times New Roman" w:hAnsi="Arial" w:cs="Arial"/>
                <w:color w:val="000000"/>
                <w:kern w:val="0"/>
                <w:lang w:eastAsia="en-GB"/>
              </w:rPr>
            </w:pPr>
            <w:r w:rsidRPr="00FB2DF9">
              <w:rPr>
                <w:rFonts w:ascii="Arial" w:eastAsia="Times New Roman" w:hAnsi="Arial" w:cs="Arial"/>
                <w:color w:val="000000"/>
                <w:kern w:val="0"/>
                <w:lang w:eastAsia="en-GB"/>
              </w:rPr>
              <w:t>With dependent children</w:t>
            </w:r>
          </w:p>
        </w:tc>
        <w:tc>
          <w:tcPr>
            <w:tcW w:w="1400" w:type="dxa"/>
            <w:tcBorders>
              <w:top w:val="nil"/>
              <w:left w:val="nil"/>
              <w:bottom w:val="single" w:sz="4" w:space="0" w:color="auto"/>
              <w:right w:val="single" w:sz="4" w:space="0" w:color="auto"/>
            </w:tcBorders>
            <w:shd w:val="clear" w:color="auto" w:fill="auto"/>
            <w:noWrap/>
            <w:vAlign w:val="bottom"/>
            <w:hideMark/>
          </w:tcPr>
          <w:p w:rsidR="00FB2DF9" w:rsidRPr="00FB2DF9" w:rsidRDefault="00FB2DF9" w:rsidP="00FB2DF9">
            <w:pPr>
              <w:tabs>
                <w:tab w:val="clear" w:pos="284"/>
              </w:tabs>
              <w:spacing w:line="240" w:lineRule="auto"/>
              <w:jc w:val="right"/>
              <w:rPr>
                <w:rFonts w:ascii="Arial" w:eastAsia="Times New Roman" w:hAnsi="Arial" w:cs="Arial"/>
                <w:color w:val="000000"/>
                <w:kern w:val="0"/>
                <w:lang w:eastAsia="en-GB"/>
              </w:rPr>
            </w:pPr>
            <w:r w:rsidRPr="00FB2DF9">
              <w:rPr>
                <w:rFonts w:ascii="Arial" w:eastAsia="Times New Roman" w:hAnsi="Arial" w:cs="Arial"/>
                <w:color w:val="000000"/>
                <w:kern w:val="0"/>
                <w:lang w:eastAsia="en-GB"/>
              </w:rPr>
              <w:t>-10.2%</w:t>
            </w:r>
          </w:p>
        </w:tc>
        <w:tc>
          <w:tcPr>
            <w:tcW w:w="1720" w:type="dxa"/>
            <w:tcBorders>
              <w:top w:val="nil"/>
              <w:left w:val="nil"/>
              <w:bottom w:val="single" w:sz="4" w:space="0" w:color="auto"/>
              <w:right w:val="single" w:sz="4" w:space="0" w:color="auto"/>
            </w:tcBorders>
            <w:shd w:val="clear" w:color="auto" w:fill="auto"/>
            <w:noWrap/>
            <w:vAlign w:val="bottom"/>
            <w:hideMark/>
          </w:tcPr>
          <w:p w:rsidR="00FB2DF9" w:rsidRPr="00FB2DF9" w:rsidRDefault="00FB2DF9" w:rsidP="00FB2DF9">
            <w:pPr>
              <w:tabs>
                <w:tab w:val="clear" w:pos="284"/>
              </w:tabs>
              <w:spacing w:line="240" w:lineRule="auto"/>
              <w:jc w:val="right"/>
              <w:rPr>
                <w:rFonts w:ascii="Arial" w:eastAsia="Times New Roman" w:hAnsi="Arial" w:cs="Arial"/>
                <w:color w:val="000000"/>
                <w:kern w:val="0"/>
                <w:lang w:eastAsia="en-GB"/>
              </w:rPr>
            </w:pPr>
            <w:r w:rsidRPr="00FB2DF9">
              <w:rPr>
                <w:rFonts w:ascii="Arial" w:eastAsia="Times New Roman" w:hAnsi="Arial" w:cs="Arial"/>
                <w:color w:val="000000"/>
                <w:kern w:val="0"/>
                <w:lang w:eastAsia="en-GB"/>
              </w:rPr>
              <w:t>4.1%</w:t>
            </w:r>
          </w:p>
        </w:tc>
        <w:tc>
          <w:tcPr>
            <w:tcW w:w="1400" w:type="dxa"/>
            <w:tcBorders>
              <w:top w:val="nil"/>
              <w:left w:val="nil"/>
              <w:bottom w:val="single" w:sz="4" w:space="0" w:color="auto"/>
              <w:right w:val="single" w:sz="8" w:space="0" w:color="auto"/>
            </w:tcBorders>
            <w:shd w:val="clear" w:color="auto" w:fill="auto"/>
            <w:noWrap/>
            <w:vAlign w:val="bottom"/>
            <w:hideMark/>
          </w:tcPr>
          <w:p w:rsidR="00FB2DF9" w:rsidRPr="00FB2DF9" w:rsidRDefault="00FB2DF9" w:rsidP="00FB2DF9">
            <w:pPr>
              <w:tabs>
                <w:tab w:val="clear" w:pos="284"/>
              </w:tabs>
              <w:spacing w:line="240" w:lineRule="auto"/>
              <w:jc w:val="right"/>
              <w:rPr>
                <w:rFonts w:ascii="Arial" w:eastAsia="Times New Roman" w:hAnsi="Arial" w:cs="Arial"/>
                <w:color w:val="000000"/>
                <w:kern w:val="0"/>
                <w:lang w:eastAsia="en-GB"/>
              </w:rPr>
            </w:pPr>
            <w:r w:rsidRPr="00FB2DF9">
              <w:rPr>
                <w:rFonts w:ascii="Arial" w:eastAsia="Times New Roman" w:hAnsi="Arial" w:cs="Arial"/>
                <w:color w:val="000000"/>
                <w:kern w:val="0"/>
                <w:lang w:eastAsia="en-GB"/>
              </w:rPr>
              <w:t>5.0%</w:t>
            </w:r>
          </w:p>
        </w:tc>
      </w:tr>
      <w:tr w:rsidR="00FB2DF9" w:rsidRPr="00FB2DF9" w:rsidTr="00FB2DF9">
        <w:trPr>
          <w:trHeight w:val="228"/>
        </w:trPr>
        <w:tc>
          <w:tcPr>
            <w:tcW w:w="2440" w:type="dxa"/>
            <w:tcBorders>
              <w:top w:val="nil"/>
              <w:left w:val="single" w:sz="8" w:space="0" w:color="auto"/>
              <w:bottom w:val="single" w:sz="4" w:space="0" w:color="auto"/>
              <w:right w:val="single" w:sz="4" w:space="0" w:color="auto"/>
            </w:tcBorders>
            <w:shd w:val="clear" w:color="auto" w:fill="auto"/>
            <w:noWrap/>
            <w:vAlign w:val="bottom"/>
            <w:hideMark/>
          </w:tcPr>
          <w:p w:rsidR="00FB2DF9" w:rsidRPr="00FB2DF9" w:rsidRDefault="00FB2DF9" w:rsidP="00FB2DF9">
            <w:pPr>
              <w:tabs>
                <w:tab w:val="clear" w:pos="284"/>
              </w:tabs>
              <w:spacing w:line="240" w:lineRule="auto"/>
              <w:rPr>
                <w:rFonts w:ascii="Arial" w:eastAsia="Times New Roman" w:hAnsi="Arial" w:cs="Arial"/>
                <w:color w:val="000000"/>
                <w:kern w:val="0"/>
                <w:lang w:eastAsia="en-GB"/>
              </w:rPr>
            </w:pPr>
            <w:r w:rsidRPr="00FB2DF9">
              <w:rPr>
                <w:rFonts w:ascii="Arial" w:eastAsia="Times New Roman" w:hAnsi="Arial" w:cs="Arial"/>
                <w:color w:val="000000"/>
                <w:kern w:val="0"/>
                <w:lang w:eastAsia="en-GB"/>
              </w:rPr>
              <w:t> </w:t>
            </w:r>
          </w:p>
        </w:tc>
        <w:tc>
          <w:tcPr>
            <w:tcW w:w="2300" w:type="dxa"/>
            <w:tcBorders>
              <w:top w:val="nil"/>
              <w:left w:val="nil"/>
              <w:bottom w:val="single" w:sz="4" w:space="0" w:color="auto"/>
              <w:right w:val="single" w:sz="4" w:space="0" w:color="auto"/>
            </w:tcBorders>
            <w:shd w:val="clear" w:color="auto" w:fill="auto"/>
            <w:noWrap/>
            <w:vAlign w:val="bottom"/>
            <w:hideMark/>
          </w:tcPr>
          <w:p w:rsidR="00FB2DF9" w:rsidRPr="00FB2DF9" w:rsidRDefault="00FB2DF9" w:rsidP="00FB2DF9">
            <w:pPr>
              <w:tabs>
                <w:tab w:val="clear" w:pos="284"/>
              </w:tabs>
              <w:spacing w:line="240" w:lineRule="auto"/>
              <w:rPr>
                <w:rFonts w:ascii="Arial" w:eastAsia="Times New Roman" w:hAnsi="Arial" w:cs="Arial"/>
                <w:color w:val="000000"/>
                <w:kern w:val="0"/>
                <w:lang w:eastAsia="en-GB"/>
              </w:rPr>
            </w:pPr>
            <w:r w:rsidRPr="00FB2DF9">
              <w:rPr>
                <w:rFonts w:ascii="Arial" w:eastAsia="Times New Roman" w:hAnsi="Arial" w:cs="Arial"/>
                <w:color w:val="000000"/>
                <w:kern w:val="0"/>
                <w:lang w:eastAsia="en-GB"/>
              </w:rPr>
              <w:t>All children non-dependent</w:t>
            </w:r>
          </w:p>
        </w:tc>
        <w:tc>
          <w:tcPr>
            <w:tcW w:w="1400" w:type="dxa"/>
            <w:tcBorders>
              <w:top w:val="nil"/>
              <w:left w:val="nil"/>
              <w:bottom w:val="single" w:sz="4" w:space="0" w:color="auto"/>
              <w:right w:val="single" w:sz="4" w:space="0" w:color="auto"/>
            </w:tcBorders>
            <w:shd w:val="clear" w:color="auto" w:fill="auto"/>
            <w:noWrap/>
            <w:vAlign w:val="bottom"/>
            <w:hideMark/>
          </w:tcPr>
          <w:p w:rsidR="00FB2DF9" w:rsidRPr="00FB2DF9" w:rsidRDefault="00FB2DF9" w:rsidP="00FB2DF9">
            <w:pPr>
              <w:tabs>
                <w:tab w:val="clear" w:pos="284"/>
              </w:tabs>
              <w:spacing w:line="240" w:lineRule="auto"/>
              <w:jc w:val="right"/>
              <w:rPr>
                <w:rFonts w:ascii="Arial" w:eastAsia="Times New Roman" w:hAnsi="Arial" w:cs="Arial"/>
                <w:color w:val="000000"/>
                <w:kern w:val="0"/>
                <w:lang w:eastAsia="en-GB"/>
              </w:rPr>
            </w:pPr>
            <w:r w:rsidRPr="00FB2DF9">
              <w:rPr>
                <w:rFonts w:ascii="Arial" w:eastAsia="Times New Roman" w:hAnsi="Arial" w:cs="Arial"/>
                <w:color w:val="000000"/>
                <w:kern w:val="0"/>
                <w:lang w:eastAsia="en-GB"/>
              </w:rPr>
              <w:t>-2.5%</w:t>
            </w:r>
          </w:p>
        </w:tc>
        <w:tc>
          <w:tcPr>
            <w:tcW w:w="1720" w:type="dxa"/>
            <w:tcBorders>
              <w:top w:val="nil"/>
              <w:left w:val="nil"/>
              <w:bottom w:val="single" w:sz="4" w:space="0" w:color="auto"/>
              <w:right w:val="single" w:sz="4" w:space="0" w:color="auto"/>
            </w:tcBorders>
            <w:shd w:val="clear" w:color="auto" w:fill="auto"/>
            <w:noWrap/>
            <w:vAlign w:val="bottom"/>
            <w:hideMark/>
          </w:tcPr>
          <w:p w:rsidR="00FB2DF9" w:rsidRPr="00FB2DF9" w:rsidRDefault="00FB2DF9" w:rsidP="00FB2DF9">
            <w:pPr>
              <w:tabs>
                <w:tab w:val="clear" w:pos="284"/>
              </w:tabs>
              <w:spacing w:line="240" w:lineRule="auto"/>
              <w:jc w:val="right"/>
              <w:rPr>
                <w:rFonts w:ascii="Arial" w:eastAsia="Times New Roman" w:hAnsi="Arial" w:cs="Arial"/>
                <w:color w:val="000000"/>
                <w:kern w:val="0"/>
                <w:lang w:eastAsia="en-GB"/>
              </w:rPr>
            </w:pPr>
            <w:r w:rsidRPr="00FB2DF9">
              <w:rPr>
                <w:rFonts w:ascii="Arial" w:eastAsia="Times New Roman" w:hAnsi="Arial" w:cs="Arial"/>
                <w:color w:val="000000"/>
                <w:kern w:val="0"/>
                <w:lang w:eastAsia="en-GB"/>
              </w:rPr>
              <w:t>13.8%</w:t>
            </w:r>
          </w:p>
        </w:tc>
        <w:tc>
          <w:tcPr>
            <w:tcW w:w="1400" w:type="dxa"/>
            <w:tcBorders>
              <w:top w:val="nil"/>
              <w:left w:val="nil"/>
              <w:bottom w:val="single" w:sz="4" w:space="0" w:color="auto"/>
              <w:right w:val="single" w:sz="8" w:space="0" w:color="auto"/>
            </w:tcBorders>
            <w:shd w:val="clear" w:color="auto" w:fill="auto"/>
            <w:noWrap/>
            <w:vAlign w:val="bottom"/>
            <w:hideMark/>
          </w:tcPr>
          <w:p w:rsidR="00FB2DF9" w:rsidRPr="00FB2DF9" w:rsidRDefault="00FB2DF9" w:rsidP="00FB2DF9">
            <w:pPr>
              <w:tabs>
                <w:tab w:val="clear" w:pos="284"/>
              </w:tabs>
              <w:spacing w:line="240" w:lineRule="auto"/>
              <w:jc w:val="right"/>
              <w:rPr>
                <w:rFonts w:ascii="Arial" w:eastAsia="Times New Roman" w:hAnsi="Arial" w:cs="Arial"/>
                <w:color w:val="000000"/>
                <w:kern w:val="0"/>
                <w:lang w:eastAsia="en-GB"/>
              </w:rPr>
            </w:pPr>
            <w:r w:rsidRPr="00FB2DF9">
              <w:rPr>
                <w:rFonts w:ascii="Arial" w:eastAsia="Times New Roman" w:hAnsi="Arial" w:cs="Arial"/>
                <w:color w:val="000000"/>
                <w:kern w:val="0"/>
                <w:lang w:eastAsia="en-GB"/>
              </w:rPr>
              <w:t>10.6%</w:t>
            </w:r>
          </w:p>
        </w:tc>
      </w:tr>
      <w:tr w:rsidR="00FB2DF9" w:rsidRPr="00FB2DF9" w:rsidTr="00FB2DF9">
        <w:trPr>
          <w:trHeight w:val="240"/>
        </w:trPr>
        <w:tc>
          <w:tcPr>
            <w:tcW w:w="2440" w:type="dxa"/>
            <w:tcBorders>
              <w:top w:val="nil"/>
              <w:left w:val="single" w:sz="8" w:space="0" w:color="auto"/>
              <w:bottom w:val="single" w:sz="8" w:space="0" w:color="auto"/>
              <w:right w:val="single" w:sz="4" w:space="0" w:color="auto"/>
            </w:tcBorders>
            <w:shd w:val="clear" w:color="auto" w:fill="auto"/>
            <w:noWrap/>
            <w:vAlign w:val="bottom"/>
            <w:hideMark/>
          </w:tcPr>
          <w:p w:rsidR="00FB2DF9" w:rsidRPr="00FB2DF9" w:rsidRDefault="00FB2DF9" w:rsidP="00FB2DF9">
            <w:pPr>
              <w:tabs>
                <w:tab w:val="clear" w:pos="284"/>
              </w:tabs>
              <w:spacing w:line="240" w:lineRule="auto"/>
              <w:rPr>
                <w:rFonts w:ascii="Arial" w:eastAsia="Times New Roman" w:hAnsi="Arial" w:cs="Arial"/>
                <w:color w:val="000000"/>
                <w:kern w:val="0"/>
                <w:lang w:eastAsia="en-GB"/>
              </w:rPr>
            </w:pPr>
            <w:r w:rsidRPr="00FB2DF9">
              <w:rPr>
                <w:rFonts w:ascii="Arial" w:eastAsia="Times New Roman" w:hAnsi="Arial" w:cs="Arial"/>
                <w:color w:val="000000"/>
                <w:kern w:val="0"/>
                <w:lang w:eastAsia="en-GB"/>
              </w:rPr>
              <w:t>Other household types</w:t>
            </w:r>
          </w:p>
        </w:tc>
        <w:tc>
          <w:tcPr>
            <w:tcW w:w="2300" w:type="dxa"/>
            <w:tcBorders>
              <w:top w:val="nil"/>
              <w:left w:val="nil"/>
              <w:bottom w:val="single" w:sz="8" w:space="0" w:color="auto"/>
              <w:right w:val="single" w:sz="4" w:space="0" w:color="auto"/>
            </w:tcBorders>
            <w:shd w:val="clear" w:color="auto" w:fill="auto"/>
            <w:noWrap/>
            <w:vAlign w:val="bottom"/>
            <w:hideMark/>
          </w:tcPr>
          <w:p w:rsidR="00FB2DF9" w:rsidRPr="00FB2DF9" w:rsidRDefault="00FB2DF9" w:rsidP="00FB2DF9">
            <w:pPr>
              <w:tabs>
                <w:tab w:val="clear" w:pos="284"/>
              </w:tabs>
              <w:spacing w:line="240" w:lineRule="auto"/>
              <w:rPr>
                <w:rFonts w:ascii="Arial" w:eastAsia="Times New Roman" w:hAnsi="Arial" w:cs="Arial"/>
                <w:color w:val="000000"/>
                <w:kern w:val="0"/>
                <w:lang w:eastAsia="en-GB"/>
              </w:rPr>
            </w:pPr>
            <w:r w:rsidRPr="00FB2DF9">
              <w:rPr>
                <w:rFonts w:ascii="Arial" w:eastAsia="Times New Roman" w:hAnsi="Arial" w:cs="Arial"/>
                <w:color w:val="000000"/>
                <w:kern w:val="0"/>
                <w:lang w:eastAsia="en-GB"/>
              </w:rPr>
              <w:t>Total</w:t>
            </w:r>
          </w:p>
        </w:tc>
        <w:tc>
          <w:tcPr>
            <w:tcW w:w="1400" w:type="dxa"/>
            <w:tcBorders>
              <w:top w:val="nil"/>
              <w:left w:val="nil"/>
              <w:bottom w:val="single" w:sz="8" w:space="0" w:color="auto"/>
              <w:right w:val="single" w:sz="4" w:space="0" w:color="auto"/>
            </w:tcBorders>
            <w:shd w:val="clear" w:color="auto" w:fill="auto"/>
            <w:noWrap/>
            <w:vAlign w:val="bottom"/>
            <w:hideMark/>
          </w:tcPr>
          <w:p w:rsidR="00FB2DF9" w:rsidRPr="00FB2DF9" w:rsidRDefault="00FB2DF9" w:rsidP="00FB2DF9">
            <w:pPr>
              <w:tabs>
                <w:tab w:val="clear" w:pos="284"/>
              </w:tabs>
              <w:spacing w:line="240" w:lineRule="auto"/>
              <w:jc w:val="right"/>
              <w:rPr>
                <w:rFonts w:ascii="Arial" w:eastAsia="Times New Roman" w:hAnsi="Arial" w:cs="Arial"/>
                <w:color w:val="000000"/>
                <w:kern w:val="0"/>
                <w:lang w:eastAsia="en-GB"/>
              </w:rPr>
            </w:pPr>
            <w:r w:rsidRPr="00FB2DF9">
              <w:rPr>
                <w:rFonts w:ascii="Arial" w:eastAsia="Times New Roman" w:hAnsi="Arial" w:cs="Arial"/>
                <w:color w:val="000000"/>
                <w:kern w:val="0"/>
                <w:lang w:eastAsia="en-GB"/>
              </w:rPr>
              <w:t>-1.7%</w:t>
            </w:r>
          </w:p>
        </w:tc>
        <w:tc>
          <w:tcPr>
            <w:tcW w:w="1720" w:type="dxa"/>
            <w:tcBorders>
              <w:top w:val="nil"/>
              <w:left w:val="nil"/>
              <w:bottom w:val="single" w:sz="8" w:space="0" w:color="auto"/>
              <w:right w:val="single" w:sz="4" w:space="0" w:color="auto"/>
            </w:tcBorders>
            <w:shd w:val="clear" w:color="auto" w:fill="auto"/>
            <w:noWrap/>
            <w:vAlign w:val="bottom"/>
            <w:hideMark/>
          </w:tcPr>
          <w:p w:rsidR="00FB2DF9" w:rsidRPr="00FB2DF9" w:rsidRDefault="00FB2DF9" w:rsidP="00FB2DF9">
            <w:pPr>
              <w:tabs>
                <w:tab w:val="clear" w:pos="284"/>
              </w:tabs>
              <w:spacing w:line="240" w:lineRule="auto"/>
              <w:jc w:val="right"/>
              <w:rPr>
                <w:rFonts w:ascii="Arial" w:eastAsia="Times New Roman" w:hAnsi="Arial" w:cs="Arial"/>
                <w:color w:val="000000"/>
                <w:kern w:val="0"/>
                <w:lang w:eastAsia="en-GB"/>
              </w:rPr>
            </w:pPr>
            <w:r w:rsidRPr="00FB2DF9">
              <w:rPr>
                <w:rFonts w:ascii="Arial" w:eastAsia="Times New Roman" w:hAnsi="Arial" w:cs="Arial"/>
                <w:color w:val="000000"/>
                <w:kern w:val="0"/>
                <w:lang w:eastAsia="en-GB"/>
              </w:rPr>
              <w:t>17.1%</w:t>
            </w:r>
          </w:p>
        </w:tc>
        <w:tc>
          <w:tcPr>
            <w:tcW w:w="1400" w:type="dxa"/>
            <w:tcBorders>
              <w:top w:val="nil"/>
              <w:left w:val="nil"/>
              <w:bottom w:val="single" w:sz="8" w:space="0" w:color="auto"/>
              <w:right w:val="single" w:sz="8" w:space="0" w:color="auto"/>
            </w:tcBorders>
            <w:shd w:val="clear" w:color="auto" w:fill="auto"/>
            <w:noWrap/>
            <w:vAlign w:val="bottom"/>
            <w:hideMark/>
          </w:tcPr>
          <w:p w:rsidR="00FB2DF9" w:rsidRPr="00FB2DF9" w:rsidRDefault="00FB2DF9" w:rsidP="00FB2DF9">
            <w:pPr>
              <w:tabs>
                <w:tab w:val="clear" w:pos="284"/>
              </w:tabs>
              <w:spacing w:line="240" w:lineRule="auto"/>
              <w:jc w:val="right"/>
              <w:rPr>
                <w:rFonts w:ascii="Arial" w:eastAsia="Times New Roman" w:hAnsi="Arial" w:cs="Arial"/>
                <w:color w:val="000000"/>
                <w:kern w:val="0"/>
                <w:lang w:eastAsia="en-GB"/>
              </w:rPr>
            </w:pPr>
            <w:r w:rsidRPr="00FB2DF9">
              <w:rPr>
                <w:rFonts w:ascii="Arial" w:eastAsia="Times New Roman" w:hAnsi="Arial" w:cs="Arial"/>
                <w:color w:val="000000"/>
                <w:kern w:val="0"/>
                <w:lang w:eastAsia="en-GB"/>
              </w:rPr>
              <w:t>28.9%</w:t>
            </w:r>
          </w:p>
        </w:tc>
      </w:tr>
    </w:tbl>
    <w:p w:rsidR="00FB2DF9" w:rsidRPr="009149D7" w:rsidRDefault="009149D7" w:rsidP="009149D7">
      <w:pPr>
        <w:pStyle w:val="ListNumber"/>
        <w:numPr>
          <w:ilvl w:val="0"/>
          <w:numId w:val="0"/>
        </w:numPr>
        <w:ind w:left="425" w:hanging="425"/>
        <w:rPr>
          <w:bCs/>
          <w:i/>
          <w:iCs/>
          <w:color w:val="000000" w:themeColor="text1"/>
          <w:lang w:val="en-US"/>
        </w:rPr>
      </w:pPr>
      <w:r w:rsidRPr="00FB2DF9">
        <w:rPr>
          <w:bCs/>
          <w:i/>
          <w:iCs/>
          <w:color w:val="000000" w:themeColor="text1"/>
          <w:lang w:val="en-US"/>
        </w:rPr>
        <w:t xml:space="preserve">Source: Census 2011, AECOM </w:t>
      </w:r>
      <w:r w:rsidR="0028437E">
        <w:rPr>
          <w:bCs/>
          <w:i/>
          <w:iCs/>
          <w:color w:val="000000" w:themeColor="text1"/>
          <w:lang w:val="en-US"/>
        </w:rPr>
        <w:t>c</w:t>
      </w:r>
      <w:r w:rsidRPr="00FB2DF9">
        <w:rPr>
          <w:bCs/>
          <w:i/>
          <w:iCs/>
          <w:color w:val="000000" w:themeColor="text1"/>
          <w:lang w:val="en-US"/>
        </w:rPr>
        <w:t>alculations</w:t>
      </w:r>
    </w:p>
    <w:p w:rsidR="0052332B" w:rsidRDefault="009149D7" w:rsidP="009149D7">
      <w:pPr>
        <w:pStyle w:val="ListNumber"/>
        <w:rPr>
          <w:lang w:val="en-US"/>
        </w:rPr>
      </w:pPr>
      <w:r>
        <w:rPr>
          <w:lang w:val="en-US"/>
        </w:rPr>
        <w:t>In Table 9</w:t>
      </w:r>
      <w:r w:rsidR="0052332B">
        <w:rPr>
          <w:lang w:val="en-US"/>
        </w:rPr>
        <w:t xml:space="preserve"> b</w:t>
      </w:r>
      <w:r w:rsidR="0052332B" w:rsidRPr="0052332B">
        <w:rPr>
          <w:lang w:val="en-US"/>
        </w:rPr>
        <w:t xml:space="preserve">elow we reproduce data from the ROANH14 </w:t>
      </w:r>
      <w:r w:rsidR="0052332B">
        <w:rPr>
          <w:lang w:val="en-US"/>
        </w:rPr>
        <w:t xml:space="preserve">that forecasts changes in household type </w:t>
      </w:r>
      <w:r w:rsidR="006C05E0">
        <w:rPr>
          <w:lang w:val="en-US"/>
        </w:rPr>
        <w:t xml:space="preserve">in </w:t>
      </w:r>
      <w:proofErr w:type="spellStart"/>
      <w:r w:rsidR="006C05E0">
        <w:rPr>
          <w:lang w:val="en-US"/>
        </w:rPr>
        <w:t>Chichester</w:t>
      </w:r>
      <w:proofErr w:type="spellEnd"/>
      <w:r w:rsidR="006C05E0">
        <w:rPr>
          <w:lang w:val="en-US"/>
        </w:rPr>
        <w:t xml:space="preserve"> </w:t>
      </w:r>
      <w:r w:rsidR="005F5CF8">
        <w:rPr>
          <w:lang w:val="en-US"/>
        </w:rPr>
        <w:t>District</w:t>
      </w:r>
      <w:r w:rsidR="006C05E0">
        <w:rPr>
          <w:lang w:val="en-US"/>
        </w:rPr>
        <w:t xml:space="preserve"> </w:t>
      </w:r>
      <w:r w:rsidR="0052332B">
        <w:rPr>
          <w:lang w:val="en-US"/>
        </w:rPr>
        <w:t xml:space="preserve">over the period 2013 to 2029. </w:t>
      </w:r>
      <w:r w:rsidR="000D5A98">
        <w:rPr>
          <w:lang w:val="en-US"/>
        </w:rPr>
        <w:t xml:space="preserve">This suggests the increase in one-person households and family households without children </w:t>
      </w:r>
      <w:r w:rsidR="006C05E0">
        <w:rPr>
          <w:lang w:val="en-US"/>
        </w:rPr>
        <w:t>t</w:t>
      </w:r>
      <w:r w:rsidR="000D5A98">
        <w:rPr>
          <w:lang w:val="en-US"/>
        </w:rPr>
        <w:t xml:space="preserve">hat </w:t>
      </w:r>
      <w:proofErr w:type="gramStart"/>
      <w:r w:rsidR="000D5A98">
        <w:rPr>
          <w:lang w:val="en-US"/>
        </w:rPr>
        <w:t>has</w:t>
      </w:r>
      <w:proofErr w:type="gramEnd"/>
      <w:r w:rsidR="000D5A98">
        <w:rPr>
          <w:lang w:val="en-US"/>
        </w:rPr>
        <w:t xml:space="preserve"> been seen within the </w:t>
      </w:r>
      <w:r w:rsidR="005F5CF8">
        <w:rPr>
          <w:lang w:val="en-US"/>
        </w:rPr>
        <w:t>District</w:t>
      </w:r>
      <w:r w:rsidR="000D5A98">
        <w:rPr>
          <w:lang w:val="en-US"/>
        </w:rPr>
        <w:t xml:space="preserve"> during the inter-censual period will be sustained over the next decade. </w:t>
      </w:r>
      <w:r w:rsidR="005D5033">
        <w:rPr>
          <w:lang w:val="en-US"/>
        </w:rPr>
        <w:t xml:space="preserve">The document comments, </w:t>
      </w:r>
      <w:r w:rsidR="005D5033" w:rsidRPr="005D5033">
        <w:rPr>
          <w:i/>
          <w:lang w:val="en-US"/>
        </w:rPr>
        <w:t>‘Over half (54%) of the growth is accounted for by one person households which are projected to rise by 4,800 from 2013 to 2029, or 297 per year on average.’</w:t>
      </w:r>
      <w:r w:rsidR="005D5033">
        <w:rPr>
          <w:rStyle w:val="FootnoteReference"/>
          <w:bCs/>
          <w:i/>
          <w:iCs/>
          <w:lang w:val="en-US"/>
        </w:rPr>
        <w:footnoteReference w:id="21"/>
      </w:r>
    </w:p>
    <w:p w:rsidR="009149D7" w:rsidRDefault="009149D7" w:rsidP="009149D7">
      <w:pPr>
        <w:pStyle w:val="Caption"/>
      </w:pPr>
      <w:r>
        <w:t xml:space="preserve">Table </w:t>
      </w:r>
      <w:fldSimple w:instr=" SEQ Table \* ARABIC ">
        <w:r w:rsidR="00B25544">
          <w:rPr>
            <w:noProof/>
          </w:rPr>
          <w:t>9</w:t>
        </w:r>
      </w:fldSimple>
      <w:r>
        <w:t xml:space="preserve">: </w:t>
      </w:r>
      <w:r w:rsidRPr="00C465AC">
        <w:t>Household projections by household type (part return to trend headship) – Chichester</w:t>
      </w:r>
    </w:p>
    <w:p w:rsidR="008F3BE0" w:rsidRPr="005D5033" w:rsidRDefault="0052332B" w:rsidP="005D5033">
      <w:pPr>
        <w:pStyle w:val="ListNumber"/>
        <w:numPr>
          <w:ilvl w:val="0"/>
          <w:numId w:val="0"/>
        </w:numPr>
        <w:spacing w:after="0"/>
        <w:ind w:left="425" w:hanging="425"/>
        <w:rPr>
          <w:bCs/>
          <w:iCs/>
          <w:color w:val="000000" w:themeColor="text1"/>
          <w:lang w:val="en-US"/>
        </w:rPr>
      </w:pPr>
      <w:r w:rsidRPr="005D5033">
        <w:rPr>
          <w:bCs/>
          <w:iCs/>
          <w:noProof/>
          <w:color w:val="000000" w:themeColor="text1"/>
          <w:lang w:eastAsia="en-GB"/>
        </w:rPr>
        <w:drawing>
          <wp:inline distT="0" distB="0" distL="0" distR="0" wp14:anchorId="2D5A9E3B" wp14:editId="0874F8DB">
            <wp:extent cx="5731510" cy="1739265"/>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ANtbl6.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31510" cy="1739265"/>
                    </a:xfrm>
                    <a:prstGeom prst="rect">
                      <a:avLst/>
                    </a:prstGeom>
                  </pic:spPr>
                </pic:pic>
              </a:graphicData>
            </a:graphic>
          </wp:inline>
        </w:drawing>
      </w:r>
    </w:p>
    <w:p w:rsidR="005D5033" w:rsidRDefault="005D5033" w:rsidP="005D5033">
      <w:pPr>
        <w:pStyle w:val="ListNumber"/>
        <w:numPr>
          <w:ilvl w:val="0"/>
          <w:numId w:val="0"/>
        </w:numPr>
        <w:spacing w:after="0"/>
        <w:ind w:left="425" w:hanging="425"/>
        <w:rPr>
          <w:i/>
          <w:color w:val="000000" w:themeColor="text1"/>
          <w:lang w:val="en-US"/>
        </w:rPr>
      </w:pPr>
      <w:r w:rsidRPr="005D5033">
        <w:rPr>
          <w:bCs/>
          <w:i/>
          <w:iCs/>
          <w:color w:val="000000" w:themeColor="text1"/>
          <w:lang w:val="en-US"/>
        </w:rPr>
        <w:t xml:space="preserve">Source: </w:t>
      </w:r>
      <w:r w:rsidRPr="005D5033">
        <w:rPr>
          <w:i/>
          <w:color w:val="000000" w:themeColor="text1"/>
          <w:lang w:val="en-US"/>
        </w:rPr>
        <w:t>ROANH14</w:t>
      </w:r>
    </w:p>
    <w:p w:rsidR="009149D7" w:rsidRDefault="009149D7" w:rsidP="009149D7">
      <w:pPr>
        <w:pStyle w:val="ListNumber"/>
        <w:numPr>
          <w:ilvl w:val="0"/>
          <w:numId w:val="0"/>
        </w:numPr>
        <w:ind w:left="425"/>
        <w:rPr>
          <w:lang w:val="en-US"/>
        </w:rPr>
      </w:pPr>
    </w:p>
    <w:p w:rsidR="005D5033" w:rsidRPr="00AC56A0" w:rsidRDefault="00AC56A0" w:rsidP="009149D7">
      <w:pPr>
        <w:pStyle w:val="ListNumber"/>
        <w:rPr>
          <w:lang w:val="en-US"/>
        </w:rPr>
      </w:pPr>
      <w:r w:rsidRPr="00AC56A0">
        <w:rPr>
          <w:lang w:val="en-US"/>
        </w:rPr>
        <w:t xml:space="preserve">Bringing together the evidence relating to change in household composition, </w:t>
      </w:r>
      <w:r w:rsidR="006C05E0" w:rsidRPr="00AC56A0">
        <w:rPr>
          <w:lang w:val="en-US"/>
        </w:rPr>
        <w:t xml:space="preserve">Census data shows a high proportion of the population are live alone (37.5%) compared with the </w:t>
      </w:r>
      <w:r w:rsidR="005F5CF8">
        <w:rPr>
          <w:lang w:val="en-US"/>
        </w:rPr>
        <w:t>District</w:t>
      </w:r>
      <w:r w:rsidR="006C05E0" w:rsidRPr="00AC56A0">
        <w:rPr>
          <w:lang w:val="en-US"/>
        </w:rPr>
        <w:t xml:space="preserve"> (32%); this group has grown substantially over the inter-censual period, recording an increase of 59 households over the period, the majority of whom were aged under 65.Overall, the representation of families declined, with the largest fall those with dependent children (10.2%). Data for the </w:t>
      </w:r>
      <w:r w:rsidR="005F5CF8">
        <w:rPr>
          <w:lang w:val="en-US"/>
        </w:rPr>
        <w:t>District</w:t>
      </w:r>
      <w:r w:rsidR="006C05E0" w:rsidRPr="00AC56A0">
        <w:rPr>
          <w:lang w:val="en-US"/>
        </w:rPr>
        <w:t xml:space="preserve"> provides a strong indication that the growth in one-person households as a share of the overall population will continue to increase over the Plan period.</w:t>
      </w:r>
    </w:p>
    <w:p w:rsidR="00AC56A0" w:rsidRPr="00AC56A0" w:rsidRDefault="00AC56A0" w:rsidP="009149D7">
      <w:pPr>
        <w:pStyle w:val="Heading2"/>
        <w:rPr>
          <w:lang w:val="en-US"/>
        </w:rPr>
      </w:pPr>
      <w:bookmarkStart w:id="102" w:name="_Toc504464741"/>
      <w:r w:rsidRPr="00AC56A0">
        <w:rPr>
          <w:lang w:val="en-US"/>
        </w:rPr>
        <w:t>Affordability</w:t>
      </w:r>
      <w:bookmarkEnd w:id="102"/>
    </w:p>
    <w:p w:rsidR="004919DB" w:rsidRDefault="00943E06" w:rsidP="009149D7">
      <w:pPr>
        <w:pStyle w:val="ListNumber"/>
      </w:pPr>
      <w:r>
        <w:t xml:space="preserve">An examination of the affordability of housing within a given place should focus that proportion of all households </w:t>
      </w:r>
      <w:r w:rsidRPr="00943E06">
        <w:t>that are unable to access suitable housing given their household type</w:t>
      </w:r>
      <w:r w:rsidR="004919DB">
        <w:t xml:space="preserve"> without subsidy in some form</w:t>
      </w:r>
      <w:r w:rsidRPr="00943E06">
        <w:t>.</w:t>
      </w:r>
      <w:r>
        <w:t xml:space="preserve"> To understand this, the concepts of the ‘income’ and ‘purchase’ thresholds are employed. </w:t>
      </w:r>
    </w:p>
    <w:p w:rsidR="004919DB" w:rsidRDefault="004E7534" w:rsidP="009149D7">
      <w:pPr>
        <w:pStyle w:val="ListNumber"/>
      </w:pPr>
      <w:proofErr w:type="gramStart"/>
      <w:r w:rsidRPr="00211BA5">
        <w:rPr>
          <w:u w:val="single"/>
        </w:rPr>
        <w:t>Income thresholds</w:t>
      </w:r>
      <w:r w:rsidRPr="004E7534">
        <w:t xml:space="preserve"> </w:t>
      </w:r>
      <w:r w:rsidR="004919DB">
        <w:t xml:space="preserve">consider the affordability of private rented accommodation, and </w:t>
      </w:r>
      <w:r w:rsidRPr="004E7534">
        <w:t xml:space="preserve">are derived </w:t>
      </w:r>
      <w:r w:rsidR="004919DB">
        <w:t>from the</w:t>
      </w:r>
      <w:r w:rsidRPr="004E7534">
        <w:t xml:space="preserve"> annualis</w:t>
      </w:r>
      <w:r w:rsidR="004919DB">
        <w:t xml:space="preserve">ation of the </w:t>
      </w:r>
      <w:r w:rsidR="00C830A2">
        <w:t>monthly rents, and assume</w:t>
      </w:r>
      <w:r w:rsidR="00B33D1F">
        <w:t>s</w:t>
      </w:r>
      <w:proofErr w:type="gramEnd"/>
      <w:r w:rsidR="00C830A2">
        <w:t xml:space="preserve"> </w:t>
      </w:r>
      <w:r w:rsidR="004919DB">
        <w:t>this</w:t>
      </w:r>
      <w:r w:rsidRPr="004E7534">
        <w:t xml:space="preserve"> annualised cost represents a maximum of 25% of annual household income. </w:t>
      </w:r>
      <w:r w:rsidR="004919DB">
        <w:t xml:space="preserve">This allows enough money for a given household to afford other domestic overheads as well as some discretionary spend, in this way </w:t>
      </w:r>
      <w:r w:rsidR="003E0B7C">
        <w:t>supporting</w:t>
      </w:r>
      <w:r w:rsidR="004919DB">
        <w:t xml:space="preserve"> overall well-being. </w:t>
      </w:r>
    </w:p>
    <w:p w:rsidR="004E7534" w:rsidRDefault="004E7534" w:rsidP="009149D7">
      <w:pPr>
        <w:pStyle w:val="ListNumber"/>
      </w:pPr>
      <w:r w:rsidRPr="004E7534">
        <w:lastRenderedPageBreak/>
        <w:t xml:space="preserve">The </w:t>
      </w:r>
      <w:r w:rsidRPr="004E7534">
        <w:rPr>
          <w:u w:val="single"/>
        </w:rPr>
        <w:t>purchase threshold</w:t>
      </w:r>
      <w:r w:rsidRPr="004E7534">
        <w:t xml:space="preserve"> </w:t>
      </w:r>
      <w:r w:rsidR="004919DB">
        <w:t xml:space="preserve">follows a similar logic but considers the affordability of dwellings for sale. It </w:t>
      </w:r>
      <w:r w:rsidRPr="004E7534">
        <w:t xml:space="preserve">is calculated by netting </w:t>
      </w:r>
      <w:r w:rsidR="004919DB">
        <w:t xml:space="preserve">off </w:t>
      </w:r>
      <w:r w:rsidRPr="004E7534">
        <w:t xml:space="preserve">10% off the lower quartile house price to reflect </w:t>
      </w:r>
      <w:r w:rsidR="00B33D1F">
        <w:t xml:space="preserve">the </w:t>
      </w:r>
      <w:r w:rsidRPr="004E7534">
        <w:t xml:space="preserve">purchase deposit. The resulting cost is divided by </w:t>
      </w:r>
      <w:r w:rsidR="004919DB">
        <w:t>a set multiple (typically 3-4)</w:t>
      </w:r>
      <w:r w:rsidRPr="004E7534">
        <w:t xml:space="preserve"> to reflect the standard household income requirement to access mortgage products. </w:t>
      </w:r>
    </w:p>
    <w:p w:rsidR="00211BA5" w:rsidRDefault="009149D7" w:rsidP="009149D7">
      <w:pPr>
        <w:pStyle w:val="ListNumber"/>
      </w:pPr>
      <w:r>
        <w:t xml:space="preserve">In </w:t>
      </w:r>
      <w:r w:rsidR="000D2F64">
        <w:t>F</w:t>
      </w:r>
      <w:r>
        <w:t>igure 4</w:t>
      </w:r>
      <w:r w:rsidR="001A2365">
        <w:t xml:space="preserve"> below we reproduce Figure 3 from the </w:t>
      </w:r>
      <w:r w:rsidR="006713D2" w:rsidRPr="006713D2">
        <w:t>CWSS12</w:t>
      </w:r>
      <w:r w:rsidR="001A2365">
        <w:t>; this</w:t>
      </w:r>
      <w:r w:rsidR="00211BA5">
        <w:t xml:space="preserve"> employs </w:t>
      </w:r>
      <w:r w:rsidR="004919DB">
        <w:t xml:space="preserve">an ‘income’ and ‘purchase’ threshold approach to identify </w:t>
      </w:r>
      <w:r w:rsidR="00211BA5">
        <w:t xml:space="preserve">the income required </w:t>
      </w:r>
      <w:r w:rsidR="00B67629">
        <w:t xml:space="preserve">to occupy a </w:t>
      </w:r>
      <w:r w:rsidR="00980537">
        <w:t>two</w:t>
      </w:r>
      <w:r w:rsidR="00B67629">
        <w:t xml:space="preserve"> bedroom home at the </w:t>
      </w:r>
      <w:r w:rsidR="005F5CF8">
        <w:t>District</w:t>
      </w:r>
      <w:r w:rsidR="00B67629">
        <w:t xml:space="preserve"> level </w:t>
      </w:r>
      <w:r w:rsidR="004919DB">
        <w:t>within</w:t>
      </w:r>
      <w:r w:rsidR="00B67629">
        <w:t xml:space="preserve"> four different tenures. </w:t>
      </w:r>
      <w:r w:rsidR="00980537">
        <w:t>A two</w:t>
      </w:r>
      <w:r w:rsidR="003E0B7C">
        <w:t xml:space="preserve"> </w:t>
      </w:r>
      <w:r w:rsidR="00980537">
        <w:t xml:space="preserve">bedroom home is considered appropriate as an entry-level home bearing in mind the need to avoid over-crowding, the predominance of family households in </w:t>
      </w:r>
      <w:r w:rsidR="00B33D1F">
        <w:t>West Wittering</w:t>
      </w:r>
      <w:r w:rsidR="00980537">
        <w:t xml:space="preserve"> and the inherent adaptability of dwellings of this size over a smaller unit. </w:t>
      </w:r>
    </w:p>
    <w:p w:rsidR="009149D7" w:rsidRDefault="009149D7" w:rsidP="009149D7">
      <w:pPr>
        <w:pStyle w:val="Caption"/>
      </w:pPr>
      <w:r>
        <w:t xml:space="preserve">Figure </w:t>
      </w:r>
      <w:fldSimple w:instr=" SEQ Figure \* ARABIC ">
        <w:r w:rsidR="00A258B5">
          <w:rPr>
            <w:noProof/>
          </w:rPr>
          <w:t>4</w:t>
        </w:r>
      </w:fldSimple>
      <w:r>
        <w:t xml:space="preserve">: </w:t>
      </w:r>
      <w:r w:rsidRPr="00A05E51">
        <w:t xml:space="preserve">Household </w:t>
      </w:r>
      <w:r w:rsidR="000D2F64">
        <w:t>i</w:t>
      </w:r>
      <w:r w:rsidRPr="00A05E51">
        <w:t xml:space="preserve">ncome </w:t>
      </w:r>
      <w:r w:rsidR="000D2F64">
        <w:t>r</w:t>
      </w:r>
      <w:r w:rsidRPr="00A05E51">
        <w:t xml:space="preserve">equired to </w:t>
      </w:r>
      <w:r w:rsidR="000D2F64">
        <w:t>b</w:t>
      </w:r>
      <w:r w:rsidRPr="00A05E51">
        <w:t xml:space="preserve">uy or </w:t>
      </w:r>
      <w:r w:rsidR="000D2F64">
        <w:t>r</w:t>
      </w:r>
      <w:r w:rsidRPr="00A05E51">
        <w:t xml:space="preserve">ent a 2-bed </w:t>
      </w:r>
      <w:r w:rsidR="000D2F64">
        <w:t>p</w:t>
      </w:r>
      <w:r w:rsidRPr="00A05E51">
        <w:t>roperty</w:t>
      </w:r>
    </w:p>
    <w:p w:rsidR="00B67629" w:rsidRPr="00513D60" w:rsidRDefault="00211BA5" w:rsidP="009149D7">
      <w:pPr>
        <w:pStyle w:val="ListNumber"/>
        <w:numPr>
          <w:ilvl w:val="0"/>
          <w:numId w:val="0"/>
        </w:numPr>
      </w:pPr>
      <w:r>
        <w:rPr>
          <w:noProof/>
          <w:lang w:eastAsia="en-GB"/>
        </w:rPr>
        <w:drawing>
          <wp:inline distT="0" distB="0" distL="0" distR="0" wp14:anchorId="0A7B9E9D" wp14:editId="4380913A">
            <wp:extent cx="5731510" cy="2940050"/>
            <wp:effectExtent l="0" t="0" r="254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MA fig3.PNG"/>
                    <pic:cNvPicPr/>
                  </pic:nvPicPr>
                  <pic:blipFill>
                    <a:blip r:embed="rId18">
                      <a:extLst>
                        <a:ext uri="{28A0092B-C50C-407E-A947-70E740481C1C}">
                          <a14:useLocalDpi xmlns:a14="http://schemas.microsoft.com/office/drawing/2010/main" val="0"/>
                        </a:ext>
                      </a:extLst>
                    </a:blip>
                    <a:stretch>
                      <a:fillRect/>
                    </a:stretch>
                  </pic:blipFill>
                  <pic:spPr>
                    <a:xfrm>
                      <a:off x="0" y="0"/>
                      <a:ext cx="5731510" cy="2940050"/>
                    </a:xfrm>
                    <a:prstGeom prst="rect">
                      <a:avLst/>
                    </a:prstGeom>
                  </pic:spPr>
                </pic:pic>
              </a:graphicData>
            </a:graphic>
          </wp:inline>
        </w:drawing>
      </w:r>
    </w:p>
    <w:p w:rsidR="00B67629" w:rsidRPr="00513D60" w:rsidRDefault="001A2365" w:rsidP="009149D7">
      <w:pPr>
        <w:pStyle w:val="ListNumber"/>
      </w:pPr>
      <w:r w:rsidRPr="00513D60">
        <w:t>In</w:t>
      </w:r>
      <w:r w:rsidR="009149D7">
        <w:t xml:space="preserve"> Figure 5</w:t>
      </w:r>
      <w:r w:rsidRPr="00513D60">
        <w:t xml:space="preserve"> below we reproduce Figure 91 from the </w:t>
      </w:r>
      <w:r w:rsidR="006713D2" w:rsidRPr="006713D2">
        <w:t>CWSS12</w:t>
      </w:r>
      <w:r w:rsidRPr="00513D60">
        <w:t xml:space="preserve">; this shows estimated median incomes in each of the sub-areas. This suggests that </w:t>
      </w:r>
      <w:r w:rsidR="00513D60" w:rsidRPr="00513D60">
        <w:t>for people living in Chichester South, the sub-area of which West Wittering forms a part</w:t>
      </w:r>
      <w:r w:rsidR="00513D60">
        <w:rPr>
          <w:rStyle w:val="FootnoteReference"/>
        </w:rPr>
        <w:footnoteReference w:id="22"/>
      </w:r>
      <w:r w:rsidR="00513D60">
        <w:t xml:space="preserve">, the majority of households are </w:t>
      </w:r>
      <w:r w:rsidR="00B755E6">
        <w:t xml:space="preserve">able to afford private rental dwellings and affordable housing products, but only a minority are able to access entry level market homes for sale. </w:t>
      </w:r>
    </w:p>
    <w:p w:rsidR="00B67629" w:rsidRDefault="00B67629" w:rsidP="00B67629">
      <w:pPr>
        <w:pStyle w:val="ListNumber"/>
        <w:numPr>
          <w:ilvl w:val="0"/>
          <w:numId w:val="0"/>
        </w:numPr>
        <w:spacing w:after="0"/>
        <w:rPr>
          <w:b/>
        </w:rPr>
      </w:pPr>
    </w:p>
    <w:p w:rsidR="009149D7" w:rsidRDefault="009149D7" w:rsidP="009149D7">
      <w:pPr>
        <w:pStyle w:val="Caption"/>
      </w:pPr>
      <w:r>
        <w:t xml:space="preserve">Figure </w:t>
      </w:r>
      <w:fldSimple w:instr=" SEQ Figure \* ARABIC ">
        <w:r w:rsidR="00A258B5">
          <w:rPr>
            <w:noProof/>
          </w:rPr>
          <w:t>5</w:t>
        </w:r>
      </w:fldSimple>
      <w:r>
        <w:t xml:space="preserve">: </w:t>
      </w:r>
      <w:r w:rsidRPr="00BA5355">
        <w:t>Distribution of household income in Coastal West Sussex HMA</w:t>
      </w:r>
    </w:p>
    <w:p w:rsidR="00B67629" w:rsidRDefault="00513D60" w:rsidP="00B67629">
      <w:pPr>
        <w:pStyle w:val="ListNumber"/>
        <w:numPr>
          <w:ilvl w:val="0"/>
          <w:numId w:val="0"/>
        </w:numPr>
        <w:spacing w:after="0"/>
        <w:rPr>
          <w:b/>
        </w:rPr>
      </w:pPr>
      <w:r>
        <w:rPr>
          <w:b/>
          <w:noProof/>
          <w:lang w:eastAsia="en-GB"/>
        </w:rPr>
        <w:drawing>
          <wp:inline distT="0" distB="0" distL="0" distR="0" wp14:anchorId="36502DA5" wp14:editId="3CF3E909">
            <wp:extent cx="5276884" cy="3092116"/>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MA fig91.PNG"/>
                    <pic:cNvPicPr/>
                  </pic:nvPicPr>
                  <pic:blipFill>
                    <a:blip r:embed="rId19">
                      <a:extLst>
                        <a:ext uri="{28A0092B-C50C-407E-A947-70E740481C1C}">
                          <a14:useLocalDpi xmlns:a14="http://schemas.microsoft.com/office/drawing/2010/main" val="0"/>
                        </a:ext>
                      </a:extLst>
                    </a:blip>
                    <a:stretch>
                      <a:fillRect/>
                    </a:stretch>
                  </pic:blipFill>
                  <pic:spPr>
                    <a:xfrm>
                      <a:off x="0" y="0"/>
                      <a:ext cx="5279563" cy="3093686"/>
                    </a:xfrm>
                    <a:prstGeom prst="rect">
                      <a:avLst/>
                    </a:prstGeom>
                  </pic:spPr>
                </pic:pic>
              </a:graphicData>
            </a:graphic>
          </wp:inline>
        </w:drawing>
      </w:r>
    </w:p>
    <w:p w:rsidR="00B67629" w:rsidRPr="00B755E6" w:rsidRDefault="00B755E6" w:rsidP="00B67629">
      <w:pPr>
        <w:pStyle w:val="ListNumber"/>
        <w:numPr>
          <w:ilvl w:val="0"/>
          <w:numId w:val="0"/>
        </w:numPr>
        <w:spacing w:after="0"/>
        <w:rPr>
          <w:i/>
        </w:rPr>
      </w:pPr>
      <w:r w:rsidRPr="00B755E6">
        <w:rPr>
          <w:i/>
        </w:rPr>
        <w:lastRenderedPageBreak/>
        <w:t xml:space="preserve">Source: </w:t>
      </w:r>
      <w:r w:rsidR="006713D2" w:rsidRPr="006713D2">
        <w:rPr>
          <w:i/>
        </w:rPr>
        <w:t>CWSS12</w:t>
      </w:r>
      <w:r w:rsidRPr="00B755E6">
        <w:rPr>
          <w:i/>
        </w:rPr>
        <w:t xml:space="preserve"> (Derived from Experian and ONS data)</w:t>
      </w:r>
    </w:p>
    <w:p w:rsidR="00B67629" w:rsidRPr="00B755E6" w:rsidRDefault="00B67629" w:rsidP="00B67629">
      <w:pPr>
        <w:pStyle w:val="ListNumber"/>
        <w:numPr>
          <w:ilvl w:val="0"/>
          <w:numId w:val="0"/>
        </w:numPr>
        <w:spacing w:after="0"/>
      </w:pPr>
    </w:p>
    <w:p w:rsidR="00B33D1F" w:rsidRDefault="00173FB0" w:rsidP="009149D7">
      <w:pPr>
        <w:pStyle w:val="ListNumber"/>
      </w:pPr>
      <w:r>
        <w:t xml:space="preserve">A more accurate assessment of the proportion of households able to access market dwellings in West Wittering may be obtained through a simple income and purchase threshold calculation using data provided by the </w:t>
      </w:r>
      <w:r w:rsidR="006713D2" w:rsidRPr="006713D2">
        <w:t>CWSS12</w:t>
      </w:r>
      <w:r>
        <w:t xml:space="preserve">. </w:t>
      </w:r>
    </w:p>
    <w:p w:rsidR="00B33D1F" w:rsidRDefault="00B33D1F" w:rsidP="009149D7">
      <w:pPr>
        <w:pStyle w:val="ListNumber"/>
      </w:pPr>
      <w:r>
        <w:t>I</w:t>
      </w:r>
      <w:r w:rsidR="009149D7">
        <w:t>n Figure 6</w:t>
      </w:r>
      <w:r w:rsidR="00173FB0">
        <w:t xml:space="preserve"> below we reproduce Figure 78. </w:t>
      </w:r>
      <w:r w:rsidR="007001C0">
        <w:t>This presents data drawn from an o</w:t>
      </w:r>
      <w:r w:rsidR="007001C0" w:rsidRPr="007001C0">
        <w:t xml:space="preserve">nline Estate and Letting Agents Survey </w:t>
      </w:r>
      <w:r w:rsidR="007001C0">
        <w:t xml:space="preserve">at the sub-area level and reveals that a </w:t>
      </w:r>
      <w:r w:rsidR="005D64F6">
        <w:t>two</w:t>
      </w:r>
      <w:r w:rsidR="007001C0">
        <w:t xml:space="preserve"> bedroom home, suitable for </w:t>
      </w:r>
      <w:r w:rsidR="005D64F6">
        <w:t xml:space="preserve">a family household consisting of 3-4 individuals, </w:t>
      </w:r>
      <w:r w:rsidR="007001C0">
        <w:t>was valued at £1</w:t>
      </w:r>
      <w:r w:rsidR="005D64F6">
        <w:t>5</w:t>
      </w:r>
      <w:r w:rsidR="007001C0">
        <w:t xml:space="preserve">6,000 in April 2012. Working from the </w:t>
      </w:r>
      <w:r w:rsidR="00DC7A83">
        <w:t>data set out Figure 5</w:t>
      </w:r>
      <w:r w:rsidR="007001C0">
        <w:t xml:space="preserve"> above, we can therefore calculate that the purchase threshold for dwellings of this size would, using a multiple of income set at 3.5, be £</w:t>
      </w:r>
      <w:r w:rsidR="005D64F6">
        <w:t>40,114</w:t>
      </w:r>
      <w:r w:rsidR="0086481E">
        <w:t xml:space="preserve">. </w:t>
      </w:r>
    </w:p>
    <w:p w:rsidR="005D64F6" w:rsidRPr="009149D7" w:rsidRDefault="005D64F6" w:rsidP="009149D7">
      <w:pPr>
        <w:pStyle w:val="ListNumber"/>
      </w:pPr>
      <w:r w:rsidRPr="009149D7">
        <w:t>Given the</w:t>
      </w:r>
      <w:r w:rsidR="0086481E" w:rsidRPr="009149D7">
        <w:t xml:space="preserve"> median income level of £40,278, </w:t>
      </w:r>
      <w:r w:rsidRPr="009149D7">
        <w:t>this</w:t>
      </w:r>
      <w:r w:rsidR="0086481E" w:rsidRPr="009149D7">
        <w:t xml:space="preserve"> suggest</w:t>
      </w:r>
      <w:r w:rsidRPr="009149D7">
        <w:t>s roughly half</w:t>
      </w:r>
      <w:r w:rsidR="0086481E" w:rsidRPr="009149D7">
        <w:t xml:space="preserve"> of households are able to access entry level dwellings for sale within the sub-area. </w:t>
      </w:r>
      <w:r w:rsidR="009149D7">
        <w:t>The difference with Figure 5 above</w:t>
      </w:r>
      <w:r w:rsidRPr="009149D7">
        <w:t xml:space="preserve"> can in part be explained by house prices in Chichester South being substantially less than for Chichester as a whole. </w:t>
      </w:r>
    </w:p>
    <w:p w:rsidR="009149D7" w:rsidRDefault="009149D7" w:rsidP="009149D7">
      <w:pPr>
        <w:pStyle w:val="Caption"/>
      </w:pPr>
      <w:r>
        <w:t xml:space="preserve">Figure </w:t>
      </w:r>
      <w:fldSimple w:instr=" SEQ Figure \* ARABIC ">
        <w:r w:rsidR="00A258B5">
          <w:rPr>
            <w:noProof/>
          </w:rPr>
          <w:t>6</w:t>
        </w:r>
      </w:fldSimple>
      <w:r>
        <w:t xml:space="preserve">: </w:t>
      </w:r>
      <w:r w:rsidRPr="00DD5150">
        <w:t xml:space="preserve">Estimated </w:t>
      </w:r>
      <w:r w:rsidR="000D2F64">
        <w:t>e</w:t>
      </w:r>
      <w:r w:rsidRPr="00DD5150">
        <w:t>ntry-</w:t>
      </w:r>
      <w:r w:rsidR="000D2F64">
        <w:t>l</w:t>
      </w:r>
      <w:r w:rsidRPr="00DD5150">
        <w:t xml:space="preserve">evel </w:t>
      </w:r>
      <w:r w:rsidR="000D2F64">
        <w:t>p</w:t>
      </w:r>
      <w:r w:rsidRPr="00DD5150">
        <w:t xml:space="preserve">urchase </w:t>
      </w:r>
      <w:r w:rsidR="000D2F64">
        <w:t>p</w:t>
      </w:r>
      <w:r w:rsidRPr="00DD5150">
        <w:t xml:space="preserve">rice by </w:t>
      </w:r>
      <w:r w:rsidR="000D2F64">
        <w:t>s</w:t>
      </w:r>
      <w:r w:rsidRPr="00DD5150">
        <w:t>ub-</w:t>
      </w:r>
      <w:r w:rsidR="000D2F64">
        <w:t>a</w:t>
      </w:r>
      <w:r w:rsidRPr="00DD5150">
        <w:t>rea</w:t>
      </w:r>
    </w:p>
    <w:p w:rsidR="00173FB0" w:rsidRDefault="00173FB0" w:rsidP="00B67629">
      <w:pPr>
        <w:pStyle w:val="ListNumber"/>
        <w:numPr>
          <w:ilvl w:val="0"/>
          <w:numId w:val="0"/>
        </w:numPr>
        <w:spacing w:after="0"/>
      </w:pPr>
      <w:r>
        <w:rPr>
          <w:noProof/>
          <w:lang w:eastAsia="en-GB"/>
        </w:rPr>
        <w:drawing>
          <wp:inline distT="0" distB="0" distL="0" distR="0" wp14:anchorId="743FCCCB" wp14:editId="4EA06F5F">
            <wp:extent cx="5731510" cy="2382520"/>
            <wp:effectExtent l="0" t="0" r="254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MA figure 78.PNG"/>
                    <pic:cNvPicPr/>
                  </pic:nvPicPr>
                  <pic:blipFill>
                    <a:blip r:embed="rId20">
                      <a:extLst>
                        <a:ext uri="{28A0092B-C50C-407E-A947-70E740481C1C}">
                          <a14:useLocalDpi xmlns:a14="http://schemas.microsoft.com/office/drawing/2010/main" val="0"/>
                        </a:ext>
                      </a:extLst>
                    </a:blip>
                    <a:stretch>
                      <a:fillRect/>
                    </a:stretch>
                  </pic:blipFill>
                  <pic:spPr>
                    <a:xfrm>
                      <a:off x="0" y="0"/>
                      <a:ext cx="5731510" cy="2382520"/>
                    </a:xfrm>
                    <a:prstGeom prst="rect">
                      <a:avLst/>
                    </a:prstGeom>
                  </pic:spPr>
                </pic:pic>
              </a:graphicData>
            </a:graphic>
          </wp:inline>
        </w:drawing>
      </w:r>
    </w:p>
    <w:p w:rsidR="00173FB0" w:rsidRDefault="007001C0" w:rsidP="00B67629">
      <w:pPr>
        <w:pStyle w:val="ListNumber"/>
        <w:numPr>
          <w:ilvl w:val="0"/>
          <w:numId w:val="0"/>
        </w:numPr>
        <w:spacing w:after="0"/>
        <w:rPr>
          <w:i/>
        </w:rPr>
      </w:pPr>
      <w:r w:rsidRPr="007001C0">
        <w:rPr>
          <w:i/>
        </w:rPr>
        <w:t>Source: Online Estate and Letting Agents Survey (April 2012)</w:t>
      </w:r>
    </w:p>
    <w:p w:rsidR="005D64F6" w:rsidRDefault="005D64F6" w:rsidP="00B67629">
      <w:pPr>
        <w:pStyle w:val="ListNumber"/>
        <w:numPr>
          <w:ilvl w:val="0"/>
          <w:numId w:val="0"/>
        </w:numPr>
        <w:spacing w:after="0"/>
        <w:rPr>
          <w:i/>
        </w:rPr>
      </w:pPr>
    </w:p>
    <w:p w:rsidR="005D64F6" w:rsidRDefault="005D64F6" w:rsidP="009149D7">
      <w:pPr>
        <w:pStyle w:val="ListNumber"/>
      </w:pPr>
      <w:r>
        <w:t>Considering rental properties</w:t>
      </w:r>
      <w:r w:rsidR="009149D7">
        <w:t>, in Table 10</w:t>
      </w:r>
      <w:r>
        <w:t xml:space="preserve"> below we reproduce Figure 81 from the </w:t>
      </w:r>
      <w:r w:rsidR="006713D2" w:rsidRPr="006713D2">
        <w:t>CWSS12</w:t>
      </w:r>
      <w:r w:rsidR="006713D2">
        <w:t xml:space="preserve"> </w:t>
      </w:r>
      <w:r>
        <w:t xml:space="preserve">which provides data on entry-level private rents. </w:t>
      </w:r>
      <w:r w:rsidR="005301D2">
        <w:t xml:space="preserve">Applying the ‘Income Threshold’ approach, again taking a two-bedroom home as our definition of the ‘entry-level’ dwelling, the </w:t>
      </w:r>
      <w:r w:rsidR="00B33D1F">
        <w:t xml:space="preserve">required income </w:t>
      </w:r>
      <w:r w:rsidR="005301D2">
        <w:t xml:space="preserve">for a dwelling of this size in Chichester South is £30,000; this is calculated by taking the monthly rent of £625, multiplying by 12 (£7,500), and multiplying this by a further 4 to reflect the threshold of 25%.  </w:t>
      </w:r>
    </w:p>
    <w:p w:rsidR="009149D7" w:rsidRPr="009149D7" w:rsidRDefault="009149D7" w:rsidP="009149D7">
      <w:pPr>
        <w:pStyle w:val="Caption"/>
        <w:rPr>
          <w:b w:val="0"/>
        </w:rPr>
      </w:pPr>
      <w:r>
        <w:t xml:space="preserve">Table </w:t>
      </w:r>
      <w:fldSimple w:instr=" SEQ Table \* ARABIC ">
        <w:r w:rsidR="00B25544">
          <w:rPr>
            <w:noProof/>
          </w:rPr>
          <w:t>10</w:t>
        </w:r>
      </w:fldSimple>
      <w:r>
        <w:t xml:space="preserve">: </w:t>
      </w:r>
      <w:r w:rsidRPr="009149D7">
        <w:t xml:space="preserve">Estimated </w:t>
      </w:r>
      <w:r w:rsidR="000D2F64">
        <w:t>e</w:t>
      </w:r>
      <w:r w:rsidRPr="009149D7">
        <w:t>ntry-</w:t>
      </w:r>
      <w:r w:rsidR="000D2F64">
        <w:t>l</w:t>
      </w:r>
      <w:r w:rsidRPr="009149D7">
        <w:t xml:space="preserve">evel </w:t>
      </w:r>
      <w:r w:rsidR="000D2F64">
        <w:t>p</w:t>
      </w:r>
      <w:r w:rsidRPr="009149D7">
        <w:t xml:space="preserve">rivate </w:t>
      </w:r>
      <w:r w:rsidR="000D2F64">
        <w:t>r</w:t>
      </w:r>
      <w:r w:rsidRPr="009149D7">
        <w:t xml:space="preserve">ents by </w:t>
      </w:r>
      <w:r w:rsidR="000D2F64">
        <w:t>s</w:t>
      </w:r>
      <w:r w:rsidRPr="009149D7">
        <w:t>ub-</w:t>
      </w:r>
      <w:r w:rsidR="000D2F64">
        <w:t>a</w:t>
      </w:r>
      <w:r w:rsidRPr="009149D7">
        <w:t>rea (</w:t>
      </w:r>
      <w:proofErr w:type="spellStart"/>
      <w:r w:rsidRPr="009149D7">
        <w:t>pcm</w:t>
      </w:r>
      <w:proofErr w:type="spellEnd"/>
      <w:r w:rsidRPr="009149D7">
        <w:t>)</w:t>
      </w:r>
    </w:p>
    <w:p w:rsidR="005D64F6" w:rsidRPr="005D64F6" w:rsidRDefault="005D64F6" w:rsidP="00B67629">
      <w:pPr>
        <w:pStyle w:val="ListNumber"/>
        <w:numPr>
          <w:ilvl w:val="0"/>
          <w:numId w:val="0"/>
        </w:numPr>
        <w:spacing w:after="0"/>
      </w:pPr>
      <w:r>
        <w:rPr>
          <w:noProof/>
          <w:lang w:eastAsia="en-GB"/>
        </w:rPr>
        <w:drawing>
          <wp:inline distT="0" distB="0" distL="0" distR="0" wp14:anchorId="7BDD7171" wp14:editId="7955E566">
            <wp:extent cx="5731510" cy="2287270"/>
            <wp:effectExtent l="0" t="0" r="254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MA fig81.PNG"/>
                    <pic:cNvPicPr/>
                  </pic:nvPicPr>
                  <pic:blipFill>
                    <a:blip r:embed="rId21">
                      <a:extLst>
                        <a:ext uri="{28A0092B-C50C-407E-A947-70E740481C1C}">
                          <a14:useLocalDpi xmlns:a14="http://schemas.microsoft.com/office/drawing/2010/main" val="0"/>
                        </a:ext>
                      </a:extLst>
                    </a:blip>
                    <a:stretch>
                      <a:fillRect/>
                    </a:stretch>
                  </pic:blipFill>
                  <pic:spPr>
                    <a:xfrm>
                      <a:off x="0" y="0"/>
                      <a:ext cx="5731510" cy="2287270"/>
                    </a:xfrm>
                    <a:prstGeom prst="rect">
                      <a:avLst/>
                    </a:prstGeom>
                  </pic:spPr>
                </pic:pic>
              </a:graphicData>
            </a:graphic>
          </wp:inline>
        </w:drawing>
      </w:r>
    </w:p>
    <w:p w:rsidR="007001C0" w:rsidRDefault="005301D2" w:rsidP="00B67629">
      <w:pPr>
        <w:pStyle w:val="ListNumber"/>
        <w:numPr>
          <w:ilvl w:val="0"/>
          <w:numId w:val="0"/>
        </w:numPr>
        <w:spacing w:after="0"/>
      </w:pPr>
      <w:r w:rsidRPr="007001C0">
        <w:rPr>
          <w:i/>
        </w:rPr>
        <w:t>Source: Online Estate and Letting Agents Survey (April 2012)</w:t>
      </w:r>
    </w:p>
    <w:p w:rsidR="005301D2" w:rsidRDefault="005301D2" w:rsidP="00B67629">
      <w:pPr>
        <w:pStyle w:val="ListNumber"/>
        <w:numPr>
          <w:ilvl w:val="0"/>
          <w:numId w:val="0"/>
        </w:numPr>
        <w:spacing w:after="0"/>
      </w:pPr>
    </w:p>
    <w:p w:rsidR="00B755E6" w:rsidRPr="00B755E6" w:rsidRDefault="00B755E6" w:rsidP="009149D7">
      <w:pPr>
        <w:pStyle w:val="ListNumber"/>
      </w:pPr>
      <w:r w:rsidRPr="00B755E6">
        <w:t xml:space="preserve">In </w:t>
      </w:r>
      <w:r w:rsidR="009149D7">
        <w:t>Table 11</w:t>
      </w:r>
      <w:r w:rsidRPr="00B755E6">
        <w:t xml:space="preserve"> below we reproduce figure 93 from the </w:t>
      </w:r>
      <w:r w:rsidR="006713D2" w:rsidRPr="006713D2">
        <w:t>CWSS12</w:t>
      </w:r>
      <w:r w:rsidRPr="00B755E6">
        <w:t xml:space="preserve"> that provides an estimation of that proportion of households for unable to access market housing (for sale or for rent). This shows that roughly 30% of all households </w:t>
      </w:r>
      <w:r w:rsidRPr="00B755E6">
        <w:lastRenderedPageBreak/>
        <w:t xml:space="preserve">cannot afford housing suited to their needs without subsidy.  </w:t>
      </w:r>
      <w:r w:rsidR="005301D2">
        <w:t>We note that the findings match our own calculations, arriving at a threshold of £30,000 to access market housing in Chichester</w:t>
      </w:r>
      <w:r w:rsidR="00980537">
        <w:t xml:space="preserve"> South</w:t>
      </w:r>
      <w:r w:rsidR="005301D2">
        <w:t xml:space="preserve">. </w:t>
      </w:r>
    </w:p>
    <w:p w:rsidR="009149D7" w:rsidRDefault="009149D7" w:rsidP="009149D7">
      <w:pPr>
        <w:pStyle w:val="Caption"/>
      </w:pPr>
      <w:r>
        <w:t xml:space="preserve">Table </w:t>
      </w:r>
      <w:fldSimple w:instr=" SEQ Table \* ARABIC ">
        <w:r w:rsidR="00B25544">
          <w:rPr>
            <w:noProof/>
          </w:rPr>
          <w:t>11</w:t>
        </w:r>
      </w:fldSimple>
      <w:r>
        <w:t xml:space="preserve">: </w:t>
      </w:r>
      <w:r w:rsidRPr="00A8469E">
        <w:t xml:space="preserve">Estimated </w:t>
      </w:r>
      <w:r w:rsidR="000D2F64">
        <w:t>p</w:t>
      </w:r>
      <w:r w:rsidRPr="00A8469E">
        <w:t xml:space="preserve">roportion of </w:t>
      </w:r>
      <w:r w:rsidR="000D2F64">
        <w:t>h</w:t>
      </w:r>
      <w:r w:rsidRPr="00A8469E">
        <w:t xml:space="preserve">ouseholds </w:t>
      </w:r>
      <w:r w:rsidR="000D2F64">
        <w:t>u</w:t>
      </w:r>
      <w:r w:rsidRPr="00A8469E">
        <w:t xml:space="preserve">nable to </w:t>
      </w:r>
      <w:r w:rsidR="000D2F64">
        <w:t>a</w:t>
      </w:r>
      <w:r w:rsidRPr="00A8469E">
        <w:t xml:space="preserve">fford </w:t>
      </w:r>
      <w:r w:rsidR="000D2F64">
        <w:t>m</w:t>
      </w:r>
      <w:r w:rsidRPr="00A8469E">
        <w:t xml:space="preserve">arket </w:t>
      </w:r>
      <w:r w:rsidR="000D2F64">
        <w:t>h</w:t>
      </w:r>
      <w:r w:rsidRPr="00A8469E">
        <w:t xml:space="preserve">ousing without </w:t>
      </w:r>
      <w:r w:rsidR="000D2F64">
        <w:t>s</w:t>
      </w:r>
      <w:r w:rsidRPr="00A8469E">
        <w:t>ubsidy</w:t>
      </w:r>
    </w:p>
    <w:p w:rsidR="004E7534" w:rsidRDefault="00B67629" w:rsidP="00B67629">
      <w:pPr>
        <w:pStyle w:val="ListNumber"/>
        <w:numPr>
          <w:ilvl w:val="0"/>
          <w:numId w:val="0"/>
        </w:numPr>
        <w:spacing w:after="0"/>
      </w:pPr>
      <w:r>
        <w:rPr>
          <w:noProof/>
          <w:lang w:eastAsia="en-GB"/>
        </w:rPr>
        <w:drawing>
          <wp:inline distT="0" distB="0" distL="0" distR="0" wp14:anchorId="6F4E62BA" wp14:editId="2D2E7055">
            <wp:extent cx="5325035" cy="3507939"/>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MA fig93.PNG"/>
                    <pic:cNvPicPr/>
                  </pic:nvPicPr>
                  <pic:blipFill>
                    <a:blip r:embed="rId22">
                      <a:extLst>
                        <a:ext uri="{28A0092B-C50C-407E-A947-70E740481C1C}">
                          <a14:useLocalDpi xmlns:a14="http://schemas.microsoft.com/office/drawing/2010/main" val="0"/>
                        </a:ext>
                      </a:extLst>
                    </a:blip>
                    <a:stretch>
                      <a:fillRect/>
                    </a:stretch>
                  </pic:blipFill>
                  <pic:spPr>
                    <a:xfrm>
                      <a:off x="0" y="0"/>
                      <a:ext cx="5328443" cy="3510184"/>
                    </a:xfrm>
                    <a:prstGeom prst="rect">
                      <a:avLst/>
                    </a:prstGeom>
                  </pic:spPr>
                </pic:pic>
              </a:graphicData>
            </a:graphic>
          </wp:inline>
        </w:drawing>
      </w:r>
    </w:p>
    <w:p w:rsidR="004E7534" w:rsidRDefault="00B67629" w:rsidP="00B67629">
      <w:pPr>
        <w:pStyle w:val="ListNumber"/>
        <w:numPr>
          <w:ilvl w:val="0"/>
          <w:numId w:val="0"/>
        </w:numPr>
        <w:spacing w:after="0"/>
        <w:rPr>
          <w:i/>
        </w:rPr>
      </w:pPr>
      <w:r w:rsidRPr="00B67629">
        <w:rPr>
          <w:i/>
        </w:rPr>
        <w:t>Source: Online Estate and Letting Agents Survey (April 2012) and Experian (2011)</w:t>
      </w:r>
    </w:p>
    <w:p w:rsidR="00B755E6" w:rsidRPr="00B67629" w:rsidRDefault="00B755E6" w:rsidP="00B67629">
      <w:pPr>
        <w:pStyle w:val="ListNumber"/>
        <w:numPr>
          <w:ilvl w:val="0"/>
          <w:numId w:val="0"/>
        </w:numPr>
        <w:spacing w:after="0"/>
        <w:rPr>
          <w:i/>
        </w:rPr>
      </w:pPr>
    </w:p>
    <w:p w:rsidR="00A117E1" w:rsidRDefault="00B755E6" w:rsidP="009149D7">
      <w:pPr>
        <w:pStyle w:val="ListNumber"/>
      </w:pPr>
      <w:r>
        <w:t>It is important to bear in mind that</w:t>
      </w:r>
      <w:r w:rsidR="008F57D4">
        <w:t xml:space="preserve"> this data was gathered in 201</w:t>
      </w:r>
      <w:r w:rsidR="00980537">
        <w:t>2</w:t>
      </w:r>
      <w:r w:rsidR="008F57D4">
        <w:t xml:space="preserve">, and should therefore be treated with some caution. However, given broader </w:t>
      </w:r>
      <w:r w:rsidR="002B43D6">
        <w:t>economic</w:t>
      </w:r>
      <w:r w:rsidR="008F57D4">
        <w:t xml:space="preserve"> trends in the UK since 201</w:t>
      </w:r>
      <w:r w:rsidR="00980537">
        <w:t>2</w:t>
      </w:r>
      <w:r w:rsidR="008F57D4">
        <w:t xml:space="preserve">, it is unlikely affordability has improved </w:t>
      </w:r>
      <w:proofErr w:type="gramStart"/>
      <w:r w:rsidR="008F57D4">
        <w:t>substantially,</w:t>
      </w:r>
      <w:proofErr w:type="gramEnd"/>
      <w:r w:rsidR="008F57D4">
        <w:t xml:space="preserve"> indeed the reverse may be the case. </w:t>
      </w:r>
    </w:p>
    <w:p w:rsidR="008F57D4" w:rsidRDefault="00A117E1" w:rsidP="009149D7">
      <w:pPr>
        <w:pStyle w:val="ListNumber"/>
      </w:pPr>
      <w:r>
        <w:t>A</w:t>
      </w:r>
      <w:r w:rsidR="008F57D4">
        <w:t xml:space="preserve"> more up</w:t>
      </w:r>
      <w:r w:rsidR="002B43D6">
        <w:t>-</w:t>
      </w:r>
      <w:r w:rsidR="008F57D4">
        <w:t>to</w:t>
      </w:r>
      <w:r w:rsidR="002B43D6">
        <w:t>-</w:t>
      </w:r>
      <w:r w:rsidR="008F57D4">
        <w:t xml:space="preserve">date indication of affordability can be taken from the </w:t>
      </w:r>
      <w:r w:rsidR="008F57D4" w:rsidRPr="0087026F">
        <w:rPr>
          <w:lang w:val="en-US"/>
        </w:rPr>
        <w:t>AHDNS14</w:t>
      </w:r>
      <w:r w:rsidR="008F57D4">
        <w:rPr>
          <w:lang w:val="en-US"/>
        </w:rPr>
        <w:t xml:space="preserve">; this study records the </w:t>
      </w:r>
      <w:r w:rsidR="0051787A">
        <w:rPr>
          <w:lang w:val="en-US"/>
        </w:rPr>
        <w:t>‘</w:t>
      </w:r>
      <w:r w:rsidR="00AC56A0" w:rsidRPr="009B4E86">
        <w:t>Affordability Ratio</w:t>
      </w:r>
      <w:r w:rsidR="0051787A">
        <w:t>’</w:t>
      </w:r>
      <w:r w:rsidR="008F57D4">
        <w:t>. This</w:t>
      </w:r>
      <w:r w:rsidR="00AC56A0" w:rsidRPr="009B4E86">
        <w:t xml:space="preserve"> is a standard measure of affordability </w:t>
      </w:r>
      <w:r w:rsidR="008F57D4">
        <w:t>which expresses house prices a</w:t>
      </w:r>
      <w:r w:rsidR="002923B7">
        <w:t>s a</w:t>
      </w:r>
      <w:r w:rsidR="008F57D4">
        <w:t xml:space="preserve"> multiple of household income. </w:t>
      </w:r>
    </w:p>
    <w:p w:rsidR="00AC56A0" w:rsidRDefault="008F57D4" w:rsidP="009149D7">
      <w:pPr>
        <w:pStyle w:val="ListNumber"/>
        <w:rPr>
          <w:i/>
          <w:lang w:val="en-US"/>
        </w:rPr>
      </w:pPr>
      <w:r w:rsidRPr="0087026F">
        <w:rPr>
          <w:lang w:val="en-US"/>
        </w:rPr>
        <w:t>AHDNS14</w:t>
      </w:r>
      <w:r>
        <w:rPr>
          <w:lang w:val="en-US"/>
        </w:rPr>
        <w:t xml:space="preserve"> </w:t>
      </w:r>
      <w:r w:rsidR="00AC56A0">
        <w:rPr>
          <w:lang w:val="en-US"/>
        </w:rPr>
        <w:t xml:space="preserve">comments that, </w:t>
      </w:r>
      <w:r w:rsidR="00AC56A0" w:rsidRPr="0000621F">
        <w:rPr>
          <w:i/>
          <w:lang w:val="en-US"/>
        </w:rPr>
        <w:t xml:space="preserve">‘the evidence indicates that affordability issues are significantly more acute in </w:t>
      </w:r>
      <w:proofErr w:type="spellStart"/>
      <w:r w:rsidR="00AC56A0" w:rsidRPr="0000621F">
        <w:rPr>
          <w:i/>
          <w:lang w:val="en-US"/>
        </w:rPr>
        <w:t>Chichester</w:t>
      </w:r>
      <w:proofErr w:type="spellEnd"/>
      <w:r w:rsidR="00AC56A0" w:rsidRPr="0000621F">
        <w:rPr>
          <w:i/>
          <w:lang w:val="en-US"/>
        </w:rPr>
        <w:t xml:space="preserve"> than comparator areas with the </w:t>
      </w:r>
      <w:r w:rsidR="005F5CF8">
        <w:rPr>
          <w:i/>
          <w:lang w:val="en-US"/>
        </w:rPr>
        <w:t>District</w:t>
      </w:r>
      <w:r w:rsidR="00AC56A0" w:rsidRPr="0000621F">
        <w:rPr>
          <w:i/>
          <w:lang w:val="en-US"/>
        </w:rPr>
        <w:t xml:space="preserve"> having a lower quartile affordability ratio of 10.41, considerably worse than the county average (9.10). Affordability has worsened markedly since 1997 (when the ratio was 4.40); however, over the past decade it has worsened at a slower rate in </w:t>
      </w:r>
      <w:proofErr w:type="spellStart"/>
      <w:r w:rsidR="00AC56A0" w:rsidRPr="0000621F">
        <w:rPr>
          <w:i/>
          <w:lang w:val="en-US"/>
        </w:rPr>
        <w:t>Chichester</w:t>
      </w:r>
      <w:proofErr w:type="spellEnd"/>
      <w:r w:rsidR="00AC56A0" w:rsidRPr="0000621F">
        <w:rPr>
          <w:i/>
          <w:lang w:val="en-US"/>
        </w:rPr>
        <w:t xml:space="preserve"> (86%) than across West Sussex as a whole (115%).</w:t>
      </w:r>
      <w:r w:rsidR="0000621F" w:rsidRPr="009144D7">
        <w:rPr>
          <w:rStyle w:val="FootnoteReference"/>
          <w:lang w:val="en-US"/>
        </w:rPr>
        <w:footnoteReference w:id="23"/>
      </w:r>
    </w:p>
    <w:p w:rsidR="00980537" w:rsidRPr="00980537" w:rsidRDefault="00980537" w:rsidP="009149D7">
      <w:pPr>
        <w:pStyle w:val="ListNumber"/>
        <w:rPr>
          <w:lang w:val="en-US"/>
        </w:rPr>
      </w:pPr>
      <w:r w:rsidRPr="00980537">
        <w:rPr>
          <w:lang w:val="en-US"/>
        </w:rPr>
        <w:t xml:space="preserve">We can calculate from </w:t>
      </w:r>
      <w:r>
        <w:rPr>
          <w:lang w:val="en-US"/>
        </w:rPr>
        <w:t xml:space="preserve">the purchase threshold set out above that the Median Affordability Ratio for </w:t>
      </w:r>
      <w:proofErr w:type="spellStart"/>
      <w:r>
        <w:rPr>
          <w:lang w:val="en-US"/>
        </w:rPr>
        <w:t>Chichester</w:t>
      </w:r>
      <w:proofErr w:type="spellEnd"/>
      <w:r>
        <w:rPr>
          <w:lang w:val="en-US"/>
        </w:rPr>
        <w:t xml:space="preserve"> South was </w:t>
      </w:r>
      <w:r w:rsidR="00C830A2">
        <w:rPr>
          <w:lang w:val="en-US"/>
        </w:rPr>
        <w:t>3.87 (£156,000/£40,</w:t>
      </w:r>
      <w:r w:rsidR="00142305">
        <w:rPr>
          <w:lang w:val="en-US"/>
        </w:rPr>
        <w:t>278). This suggests that, while the majority of households are able to access housing suited to their needs</w:t>
      </w:r>
      <w:r w:rsidR="00A117E1">
        <w:rPr>
          <w:lang w:val="en-US"/>
        </w:rPr>
        <w:t xml:space="preserve"> within the sub-area</w:t>
      </w:r>
      <w:r w:rsidR="00142305">
        <w:rPr>
          <w:lang w:val="en-US"/>
        </w:rPr>
        <w:t xml:space="preserve">, there is an acute affordability crisis affecting those on lower incomes. </w:t>
      </w:r>
    </w:p>
    <w:p w:rsidR="00142305" w:rsidRDefault="002B43D6" w:rsidP="009149D7">
      <w:pPr>
        <w:pStyle w:val="ListNumber"/>
        <w:rPr>
          <w:lang w:val="en-US"/>
        </w:rPr>
      </w:pPr>
      <w:r>
        <w:rPr>
          <w:lang w:val="en-US"/>
        </w:rPr>
        <w:t xml:space="preserve">We have noted above that a realistic multiple of household income considered by providers of mortgage products does not exceed 4; therefore, 10.41 supports the </w:t>
      </w:r>
      <w:r w:rsidR="00041812">
        <w:rPr>
          <w:lang w:val="en-US"/>
        </w:rPr>
        <w:t xml:space="preserve">conclusion that for those on low incomes market housing for purchase is </w:t>
      </w:r>
      <w:r w:rsidR="0051787A">
        <w:rPr>
          <w:lang w:val="en-US"/>
        </w:rPr>
        <w:t xml:space="preserve">well beyond their means, providing a strong argument for social rented dwellings to accommodate those most in need. </w:t>
      </w:r>
      <w:r>
        <w:rPr>
          <w:lang w:val="en-US"/>
        </w:rPr>
        <w:t xml:space="preserve"> </w:t>
      </w:r>
    </w:p>
    <w:p w:rsidR="008F57D4" w:rsidRPr="008F57D4" w:rsidRDefault="008F57D4" w:rsidP="009149D7">
      <w:pPr>
        <w:pStyle w:val="ListNumber"/>
        <w:rPr>
          <w:lang w:val="en-US"/>
        </w:rPr>
      </w:pPr>
      <w:r>
        <w:rPr>
          <w:lang w:val="en-US"/>
        </w:rPr>
        <w:t>Given these trends of worsening affo</w:t>
      </w:r>
      <w:r w:rsidR="00142305">
        <w:rPr>
          <w:lang w:val="en-US"/>
        </w:rPr>
        <w:t xml:space="preserve">rdability at the </w:t>
      </w:r>
      <w:r w:rsidR="005F5CF8">
        <w:rPr>
          <w:lang w:val="en-US"/>
        </w:rPr>
        <w:t>District</w:t>
      </w:r>
      <w:r w:rsidR="00142305">
        <w:rPr>
          <w:lang w:val="en-US"/>
        </w:rPr>
        <w:t xml:space="preserve"> level, </w:t>
      </w:r>
      <w:r w:rsidR="001D6E40">
        <w:rPr>
          <w:lang w:val="en-US"/>
        </w:rPr>
        <w:t xml:space="preserve">it is not unreasonable to assume the affordability picture is worse now </w:t>
      </w:r>
      <w:r w:rsidR="00142305">
        <w:rPr>
          <w:lang w:val="en-US"/>
        </w:rPr>
        <w:t xml:space="preserve">in the NPA </w:t>
      </w:r>
      <w:r w:rsidR="001D6E40">
        <w:rPr>
          <w:lang w:val="en-US"/>
        </w:rPr>
        <w:t xml:space="preserve">than in 2011. Indeed, </w:t>
      </w:r>
      <w:r w:rsidRPr="008F57D4">
        <w:rPr>
          <w:lang w:val="en-US"/>
        </w:rPr>
        <w:t xml:space="preserve">Land Registry Price Paid data suggests that between 2007 and 2016 house prices increased in West </w:t>
      </w:r>
      <w:proofErr w:type="spellStart"/>
      <w:r w:rsidRPr="008F57D4">
        <w:rPr>
          <w:lang w:val="en-US"/>
        </w:rPr>
        <w:t>Wittering</w:t>
      </w:r>
      <w:proofErr w:type="spellEnd"/>
      <w:r w:rsidRPr="008F57D4">
        <w:rPr>
          <w:lang w:val="en-US"/>
        </w:rPr>
        <w:t xml:space="preserve"> by an average of 18%</w:t>
      </w:r>
      <w:r w:rsidR="001D6E40">
        <w:rPr>
          <w:lang w:val="en-US"/>
        </w:rPr>
        <w:t xml:space="preserve">; unless average household incomes increased by the same margin or more, affordability would indeed have deteriorated. </w:t>
      </w:r>
    </w:p>
    <w:p w:rsidR="00A117E1" w:rsidRDefault="00D71466" w:rsidP="009149D7">
      <w:pPr>
        <w:pStyle w:val="ListNumber"/>
      </w:pPr>
      <w:r w:rsidRPr="00D71466">
        <w:rPr>
          <w:bCs/>
          <w:iCs/>
          <w:color w:val="000000" w:themeColor="text1"/>
          <w:lang w:val="en-US"/>
        </w:rPr>
        <w:t>Moreover, it is worth bearing in mind that</w:t>
      </w:r>
      <w:r w:rsidR="0051787A">
        <w:rPr>
          <w:bCs/>
          <w:iCs/>
          <w:color w:val="000000" w:themeColor="text1"/>
          <w:lang w:val="en-US"/>
        </w:rPr>
        <w:t xml:space="preserve"> West </w:t>
      </w:r>
      <w:proofErr w:type="spellStart"/>
      <w:r w:rsidR="0051787A">
        <w:rPr>
          <w:bCs/>
          <w:iCs/>
          <w:color w:val="000000" w:themeColor="text1"/>
          <w:lang w:val="en-US"/>
        </w:rPr>
        <w:t>Wittering</w:t>
      </w:r>
      <w:proofErr w:type="spellEnd"/>
      <w:r w:rsidR="0051787A">
        <w:rPr>
          <w:bCs/>
          <w:iCs/>
          <w:color w:val="000000" w:themeColor="text1"/>
          <w:lang w:val="en-US"/>
        </w:rPr>
        <w:t xml:space="preserve"> itself may be a</w:t>
      </w:r>
      <w:r w:rsidRPr="00D71466">
        <w:rPr>
          <w:bCs/>
          <w:iCs/>
          <w:color w:val="000000" w:themeColor="text1"/>
          <w:lang w:val="en-US"/>
        </w:rPr>
        <w:t xml:space="preserve"> pocket of high prices. Land registry price paid data suggests that, on average, dwellings in the settlement were 35% higher than for </w:t>
      </w:r>
      <w:proofErr w:type="spellStart"/>
      <w:r w:rsidRPr="00D71466">
        <w:rPr>
          <w:bCs/>
          <w:iCs/>
          <w:color w:val="000000" w:themeColor="text1"/>
          <w:lang w:val="en-US"/>
        </w:rPr>
        <w:t>Chichester</w:t>
      </w:r>
      <w:proofErr w:type="spellEnd"/>
      <w:r w:rsidRPr="00D71466">
        <w:rPr>
          <w:bCs/>
          <w:iCs/>
          <w:color w:val="000000" w:themeColor="text1"/>
          <w:lang w:val="en-US"/>
        </w:rPr>
        <w:t xml:space="preserve"> as a whole.</w:t>
      </w:r>
      <w:r w:rsidR="00A117E1">
        <w:rPr>
          <w:bCs/>
          <w:iCs/>
          <w:color w:val="000000" w:themeColor="text1"/>
          <w:lang w:val="en-US"/>
        </w:rPr>
        <w:t xml:space="preserve"> </w:t>
      </w:r>
      <w:r w:rsidR="00A117E1">
        <w:t xml:space="preserve">As part of this HNA, we have canvassed the view of estate agents operating in the area primarily to check the assumption that Chichester South was a suitable proxy for West Wittering as regards the market for private housing. </w:t>
      </w:r>
    </w:p>
    <w:p w:rsidR="00A117E1" w:rsidRDefault="00A117E1" w:rsidP="009149D7">
      <w:pPr>
        <w:pStyle w:val="ListNumber"/>
      </w:pPr>
      <w:r>
        <w:lastRenderedPageBreak/>
        <w:t xml:space="preserve">The feedback we received from two agents (Astons and Henry Adams) </w:t>
      </w:r>
      <w:proofErr w:type="gramStart"/>
      <w:r>
        <w:t>were</w:t>
      </w:r>
      <w:proofErr w:type="gramEnd"/>
      <w:r>
        <w:t xml:space="preserve"> that ‘</w:t>
      </w:r>
      <w:r w:rsidRPr="00456A47">
        <w:t xml:space="preserve">West Wittering village itself does command a higher price than the surrounding areas such as East Wittering or </w:t>
      </w:r>
      <w:proofErr w:type="spellStart"/>
      <w:r w:rsidRPr="00456A47">
        <w:t>Bracklesham</w:t>
      </w:r>
      <w:proofErr w:type="spellEnd"/>
      <w:r w:rsidRPr="00456A47">
        <w:t xml:space="preserve"> Bay</w:t>
      </w:r>
      <w:r w:rsidR="000D2F64">
        <w:t>.</w:t>
      </w:r>
      <w:r>
        <w:rPr>
          <w:rStyle w:val="FootnoteReference"/>
        </w:rPr>
        <w:footnoteReference w:id="24"/>
      </w:r>
      <w:r>
        <w:t xml:space="preserve"> The</w:t>
      </w:r>
      <w:r w:rsidR="0051787A">
        <w:t>y reported that house prices have</w:t>
      </w:r>
      <w:r>
        <w:t xml:space="preserve"> increased substantially over the past 5 years, by between 20 and 30%. </w:t>
      </w:r>
    </w:p>
    <w:p w:rsidR="0051787A" w:rsidRDefault="00A117E1" w:rsidP="009149D7">
      <w:pPr>
        <w:pStyle w:val="ListNumber"/>
      </w:pPr>
      <w:r>
        <w:t>I</w:t>
      </w:r>
      <w:r w:rsidR="000D2F64">
        <w:t>n</w:t>
      </w:r>
      <w:r>
        <w:t xml:space="preserve"> addition, in response to the question, </w:t>
      </w:r>
      <w:r w:rsidRPr="00A117E1">
        <w:rPr>
          <w:i/>
        </w:rPr>
        <w:t xml:space="preserve">‘please can you supply approximate prices for the following different types of dwelling (by way of example properties sold in the second half of 2017)’ </w:t>
      </w:r>
      <w:r>
        <w:t>in respect of a two bedroom dwelling, Astons provided an estimate of £250,000 and He</w:t>
      </w:r>
      <w:r w:rsidR="0051787A">
        <w:t xml:space="preserve">nry Adams put forward £325,000; from this data it is possible to derive an average of £287,500 and treat this as a working valuation for an entry level property in West Wittering at the start of 2018. </w:t>
      </w:r>
      <w:r>
        <w:t xml:space="preserve"> </w:t>
      </w:r>
    </w:p>
    <w:p w:rsidR="005374F5" w:rsidRDefault="0051787A" w:rsidP="009149D7">
      <w:pPr>
        <w:pStyle w:val="ListNumber"/>
      </w:pPr>
      <w:r>
        <w:t>At the very least, t</w:t>
      </w:r>
      <w:r w:rsidR="00A117E1">
        <w:t xml:space="preserve">his </w:t>
      </w:r>
      <w:r>
        <w:t>calls into question as to whether the figure of</w:t>
      </w:r>
      <w:r w:rsidR="00A117E1">
        <w:t xml:space="preserve"> </w:t>
      </w:r>
      <w:r w:rsidR="00A117E1" w:rsidRPr="00456A47">
        <w:t>£156,000 for a two b</w:t>
      </w:r>
      <w:r w:rsidR="00A117E1">
        <w:t xml:space="preserve">edroom home in Chichester South reported in the </w:t>
      </w:r>
      <w:r w:rsidR="006713D2" w:rsidRPr="006713D2">
        <w:t>CWSS12</w:t>
      </w:r>
      <w:r w:rsidR="00A117E1">
        <w:t xml:space="preserve"> </w:t>
      </w:r>
      <w:r>
        <w:t xml:space="preserve">can be used as a proxy for West Wittering. </w:t>
      </w:r>
      <w:r w:rsidR="005374F5">
        <w:t>If this provides a more accurate estimate of entry-level house prices this</w:t>
      </w:r>
      <w:r w:rsidR="00A117E1">
        <w:t xml:space="preserve"> would indicate a more serious position as regards affordability </w:t>
      </w:r>
      <w:r w:rsidR="00C62419">
        <w:t>within the designated</w:t>
      </w:r>
      <w:r w:rsidR="005374F5">
        <w:t xml:space="preserve"> area</w:t>
      </w:r>
      <w:r w:rsidR="00A117E1">
        <w:t xml:space="preserve">. </w:t>
      </w:r>
    </w:p>
    <w:p w:rsidR="00C62419" w:rsidRDefault="000B6AE2" w:rsidP="009149D7">
      <w:pPr>
        <w:pStyle w:val="ListNumber"/>
      </w:pPr>
      <w:r>
        <w:t>The</w:t>
      </w:r>
      <w:r w:rsidR="00C62419">
        <w:t xml:space="preserve"> ‘purchase threshold’</w:t>
      </w:r>
      <w:r w:rsidR="00D0670B">
        <w:t xml:space="preserve"> calculation for a property valued at £287,500</w:t>
      </w:r>
      <w:r w:rsidR="00C62419">
        <w:t>,</w:t>
      </w:r>
      <w:r>
        <w:t xml:space="preserve"> </w:t>
      </w:r>
      <w:r w:rsidRPr="000B6AE2">
        <w:t>using an income multiple set at 3.5,</w:t>
      </w:r>
      <w:r w:rsidR="00C62419">
        <w:t xml:space="preserve"> </w:t>
      </w:r>
      <w:r>
        <w:t>would be £74,</w:t>
      </w:r>
      <w:r w:rsidR="00D0670B">
        <w:t xml:space="preserve">185. This figure is greatly in excess of the median income for Chichester South of £40,278 in 2012 and should therefore be considered beyond the means of households at this income level. This is reinforced by the Affordability Ratio we can calculate from this figure; assuming median household incomes have remained static since 2012, this metric would stand at 7.13. </w:t>
      </w:r>
    </w:p>
    <w:p w:rsidR="00A117E1" w:rsidRDefault="005374F5" w:rsidP="009149D7">
      <w:pPr>
        <w:pStyle w:val="ListNumber"/>
      </w:pPr>
      <w:r>
        <w:t xml:space="preserve">Notwithstanding, it is important to acknowledge the function local housing market may cover a geography that is greater than West Wittering alone, with </w:t>
      </w:r>
      <w:r w:rsidR="00A117E1">
        <w:t xml:space="preserve">households on lower incomes may be able to access more affordable dwellings within neighbouring areas. </w:t>
      </w:r>
    </w:p>
    <w:p w:rsidR="002E2115" w:rsidRPr="00EF789D" w:rsidRDefault="00C215B9" w:rsidP="009149D7">
      <w:pPr>
        <w:pStyle w:val="Heading2"/>
        <w:rPr>
          <w:lang w:val="en-US"/>
        </w:rPr>
      </w:pPr>
      <w:bookmarkStart w:id="103" w:name="_Toc504464742"/>
      <w:r w:rsidRPr="00EF789D">
        <w:rPr>
          <w:lang w:val="en-US"/>
        </w:rPr>
        <w:t xml:space="preserve">Housing </w:t>
      </w:r>
      <w:r w:rsidR="000D2F64">
        <w:rPr>
          <w:lang w:val="en-US"/>
        </w:rPr>
        <w:t>w</w:t>
      </w:r>
      <w:r w:rsidRPr="00EF789D">
        <w:rPr>
          <w:lang w:val="en-US"/>
        </w:rPr>
        <w:t xml:space="preserve">aiting </w:t>
      </w:r>
      <w:r w:rsidR="000D2F64">
        <w:rPr>
          <w:lang w:val="en-US"/>
        </w:rPr>
        <w:t>l</w:t>
      </w:r>
      <w:r w:rsidRPr="00EF789D">
        <w:rPr>
          <w:lang w:val="en-US"/>
        </w:rPr>
        <w:t>ist</w:t>
      </w:r>
      <w:bookmarkEnd w:id="103"/>
    </w:p>
    <w:p w:rsidR="00C215B9" w:rsidRPr="00C215B9" w:rsidRDefault="00C215B9" w:rsidP="009149D7">
      <w:pPr>
        <w:pStyle w:val="ListNumber"/>
        <w:rPr>
          <w:lang w:val="en-US"/>
        </w:rPr>
      </w:pPr>
      <w:r w:rsidRPr="00C215B9">
        <w:rPr>
          <w:lang w:val="en-US"/>
        </w:rPr>
        <w:t xml:space="preserve">So far, we have considered housing need based on a statistical understanding of affordability derived from household income. A necessary additional component to quantify need for AH in the NPA is identifiable demand expressed through entries on </w:t>
      </w:r>
      <w:proofErr w:type="gramStart"/>
      <w:r w:rsidRPr="00C215B9">
        <w:rPr>
          <w:lang w:val="en-US"/>
        </w:rPr>
        <w:t>a housing</w:t>
      </w:r>
      <w:proofErr w:type="gramEnd"/>
      <w:r w:rsidRPr="00C215B9">
        <w:rPr>
          <w:lang w:val="en-US"/>
        </w:rPr>
        <w:t xml:space="preserve"> needs register. In the absence of such a register that is specific to the NPA, the data contained in the Housing Register Waiting List (HRWL) for the whole </w:t>
      </w:r>
      <w:r w:rsidR="005F5CF8">
        <w:rPr>
          <w:lang w:val="en-US"/>
        </w:rPr>
        <w:t>District</w:t>
      </w:r>
      <w:r w:rsidRPr="00C215B9">
        <w:rPr>
          <w:lang w:val="en-US"/>
        </w:rPr>
        <w:t xml:space="preserve"> maintained by </w:t>
      </w:r>
      <w:proofErr w:type="spellStart"/>
      <w:r w:rsidR="00EF789D">
        <w:rPr>
          <w:lang w:val="en-US"/>
        </w:rPr>
        <w:t>Chichester</w:t>
      </w:r>
      <w:proofErr w:type="spellEnd"/>
      <w:r w:rsidR="00EF789D">
        <w:rPr>
          <w:lang w:val="en-US"/>
        </w:rPr>
        <w:t xml:space="preserve"> </w:t>
      </w:r>
      <w:r w:rsidR="005F5CF8">
        <w:rPr>
          <w:lang w:val="en-US"/>
        </w:rPr>
        <w:t>District</w:t>
      </w:r>
      <w:r w:rsidR="00EF789D">
        <w:rPr>
          <w:lang w:val="en-US"/>
        </w:rPr>
        <w:t xml:space="preserve"> </w:t>
      </w:r>
      <w:r w:rsidRPr="00C215B9">
        <w:rPr>
          <w:lang w:val="en-US"/>
        </w:rPr>
        <w:t>C</w:t>
      </w:r>
      <w:r w:rsidR="00EF789D">
        <w:rPr>
          <w:lang w:val="en-US"/>
        </w:rPr>
        <w:t>ouncil (CDC)</w:t>
      </w:r>
      <w:r w:rsidRPr="00C215B9">
        <w:rPr>
          <w:lang w:val="en-US"/>
        </w:rPr>
        <w:t xml:space="preserve"> may be used. </w:t>
      </w:r>
    </w:p>
    <w:p w:rsidR="00C215B9" w:rsidRPr="00EF789D" w:rsidRDefault="00654232" w:rsidP="009149D7">
      <w:pPr>
        <w:pStyle w:val="ListNumber"/>
        <w:rPr>
          <w:lang w:val="en-US"/>
        </w:rPr>
      </w:pPr>
      <w:r>
        <w:rPr>
          <w:lang w:val="en-US"/>
        </w:rPr>
        <w:t xml:space="preserve">CDC </w:t>
      </w:r>
      <w:proofErr w:type="gramStart"/>
      <w:r>
        <w:rPr>
          <w:lang w:val="en-US"/>
        </w:rPr>
        <w:t>were</w:t>
      </w:r>
      <w:proofErr w:type="gramEnd"/>
      <w:r>
        <w:rPr>
          <w:lang w:val="en-US"/>
        </w:rPr>
        <w:t xml:space="preserve"> contacted</w:t>
      </w:r>
      <w:r w:rsidR="00C215B9" w:rsidRPr="00EF789D">
        <w:rPr>
          <w:lang w:val="en-US"/>
        </w:rPr>
        <w:t xml:space="preserve"> for their assessment of the number of households currently on the waiting list that live in </w:t>
      </w:r>
      <w:r w:rsidR="00EF789D" w:rsidRPr="00EF789D">
        <w:rPr>
          <w:lang w:val="en-US"/>
        </w:rPr>
        <w:t xml:space="preserve">West </w:t>
      </w:r>
      <w:proofErr w:type="spellStart"/>
      <w:r w:rsidR="00EF789D" w:rsidRPr="00EF789D">
        <w:rPr>
          <w:lang w:val="en-US"/>
        </w:rPr>
        <w:t>Wittering</w:t>
      </w:r>
      <w:proofErr w:type="spellEnd"/>
      <w:r w:rsidR="00C215B9" w:rsidRPr="00EF789D">
        <w:rPr>
          <w:lang w:val="en-US"/>
        </w:rPr>
        <w:t xml:space="preserve">. They reported back, </w:t>
      </w:r>
      <w:r w:rsidR="00EF789D" w:rsidRPr="00EF789D">
        <w:rPr>
          <w:rFonts w:ascii="Arial" w:hAnsi="Arial" w:cs="Arial"/>
        </w:rPr>
        <w:t xml:space="preserve">‘there </w:t>
      </w:r>
      <w:r>
        <w:rPr>
          <w:rFonts w:ascii="Arial" w:hAnsi="Arial" w:cs="Arial"/>
        </w:rPr>
        <w:t>are</w:t>
      </w:r>
      <w:r w:rsidR="00EF789D" w:rsidRPr="00EF789D">
        <w:rPr>
          <w:rFonts w:ascii="Arial" w:hAnsi="Arial" w:cs="Arial"/>
        </w:rPr>
        <w:t xml:space="preserve"> currently 21 households on the housing register with a local connection to West Wittering, of which 43% </w:t>
      </w:r>
      <w:r w:rsidR="00EF789D">
        <w:rPr>
          <w:rFonts w:ascii="Arial" w:hAnsi="Arial" w:cs="Arial"/>
        </w:rPr>
        <w:t xml:space="preserve">(9 households) </w:t>
      </w:r>
      <w:r w:rsidR="00EF789D" w:rsidRPr="00EF789D">
        <w:rPr>
          <w:rFonts w:ascii="Arial" w:hAnsi="Arial" w:cs="Arial"/>
        </w:rPr>
        <w:t>are in bands A-C and are considered as having a high priority housing need.’</w:t>
      </w:r>
      <w:r w:rsidR="00EF789D" w:rsidRPr="00EF789D">
        <w:rPr>
          <w:rStyle w:val="FootnoteReference"/>
          <w:rFonts w:cs="Arial"/>
          <w:color w:val="000000" w:themeColor="text1"/>
        </w:rPr>
        <w:footnoteReference w:id="25"/>
      </w:r>
      <w:r w:rsidR="00EF789D">
        <w:rPr>
          <w:rFonts w:ascii="Arial" w:hAnsi="Arial" w:cs="Arial"/>
        </w:rPr>
        <w:t xml:space="preserve"> </w:t>
      </w:r>
    </w:p>
    <w:p w:rsidR="00C215B9" w:rsidRDefault="00EF789D" w:rsidP="009149D7">
      <w:pPr>
        <w:pStyle w:val="ListNumber"/>
        <w:rPr>
          <w:lang w:val="en-US"/>
        </w:rPr>
      </w:pPr>
      <w:r>
        <w:rPr>
          <w:lang w:val="en-US"/>
        </w:rPr>
        <w:t>To understand the significance of this in policy terms, i</w:t>
      </w:r>
      <w:r w:rsidR="00654232">
        <w:rPr>
          <w:lang w:val="en-US"/>
        </w:rPr>
        <w:t>t is n</w:t>
      </w:r>
      <w:r w:rsidR="00704CF8">
        <w:rPr>
          <w:lang w:val="en-US"/>
        </w:rPr>
        <w:t xml:space="preserve">ecessary to consider how many affordable homes </w:t>
      </w:r>
      <w:r w:rsidR="00654232">
        <w:rPr>
          <w:lang w:val="en-US"/>
        </w:rPr>
        <w:t xml:space="preserve">would come forward in the event the </w:t>
      </w:r>
      <w:r w:rsidR="005F5CF8">
        <w:rPr>
          <w:lang w:val="en-US"/>
        </w:rPr>
        <w:t>Parish</w:t>
      </w:r>
      <w:r w:rsidR="00654232">
        <w:rPr>
          <w:lang w:val="en-US"/>
        </w:rPr>
        <w:t xml:space="preserve"> fulfilled th</w:t>
      </w:r>
      <w:r w:rsidR="00DC7A83">
        <w:rPr>
          <w:lang w:val="en-US"/>
        </w:rPr>
        <w:t>e housing need figure set out above</w:t>
      </w:r>
      <w:r w:rsidR="00654232" w:rsidRPr="00654232">
        <w:rPr>
          <w:color w:val="FF0000"/>
          <w:lang w:val="en-US"/>
        </w:rPr>
        <w:t xml:space="preserve"> </w:t>
      </w:r>
      <w:r w:rsidR="00654232">
        <w:rPr>
          <w:lang w:val="en-US"/>
        </w:rPr>
        <w:t xml:space="preserve">through the operation of the Local Authority’s affordable housing policies. This will provide an indication as to whether these policies are sufficient for the purposes of satisfying the </w:t>
      </w:r>
      <w:r w:rsidR="005F5CF8">
        <w:rPr>
          <w:lang w:val="en-US"/>
        </w:rPr>
        <w:t>Parish</w:t>
      </w:r>
      <w:r w:rsidR="00654232">
        <w:rPr>
          <w:lang w:val="en-US"/>
        </w:rPr>
        <w:t xml:space="preserve">’s affordable housing needs. </w:t>
      </w:r>
    </w:p>
    <w:p w:rsidR="00DD58C2" w:rsidRDefault="00C215B9" w:rsidP="009149D7">
      <w:pPr>
        <w:pStyle w:val="ListNumber"/>
        <w:rPr>
          <w:lang w:val="en-US"/>
        </w:rPr>
      </w:pPr>
      <w:r w:rsidRPr="00DD58C2">
        <w:rPr>
          <w:lang w:val="en-US"/>
        </w:rPr>
        <w:t xml:space="preserve">The average of the housing needs projections for the NPA derived from the four projections put forward in ‘quantity’ is </w:t>
      </w:r>
      <w:r w:rsidR="00704CF8" w:rsidRPr="00DD58C2">
        <w:rPr>
          <w:lang w:val="en-US"/>
        </w:rPr>
        <w:t xml:space="preserve">182 </w:t>
      </w:r>
      <w:r w:rsidRPr="00DD58C2">
        <w:rPr>
          <w:lang w:val="en-US"/>
        </w:rPr>
        <w:t xml:space="preserve">dwellings (rounded) to be delivered over the </w:t>
      </w:r>
      <w:r w:rsidR="000375DA">
        <w:rPr>
          <w:lang w:val="en-US"/>
        </w:rPr>
        <w:t>Plan period</w:t>
      </w:r>
      <w:r w:rsidR="00704CF8" w:rsidRPr="00DD58C2">
        <w:rPr>
          <w:lang w:val="en-US"/>
        </w:rPr>
        <w:t xml:space="preserve">; the figure of 9 </w:t>
      </w:r>
      <w:r w:rsidR="002C0C27">
        <w:rPr>
          <w:lang w:val="en-US"/>
        </w:rPr>
        <w:t xml:space="preserve">households </w:t>
      </w:r>
      <w:r w:rsidRPr="00DD58C2">
        <w:rPr>
          <w:lang w:val="en-US"/>
        </w:rPr>
        <w:t xml:space="preserve">represents </w:t>
      </w:r>
      <w:r w:rsidR="00DD58C2" w:rsidRPr="00DD58C2">
        <w:rPr>
          <w:lang w:val="en-US"/>
        </w:rPr>
        <w:t>5</w:t>
      </w:r>
      <w:r w:rsidRPr="00DD58C2">
        <w:rPr>
          <w:lang w:val="en-US"/>
        </w:rPr>
        <w:t>% of this number</w:t>
      </w:r>
      <w:r w:rsidR="00DD58C2" w:rsidRPr="00DD58C2">
        <w:rPr>
          <w:lang w:val="en-US"/>
        </w:rPr>
        <w:t xml:space="preserve"> (rounded)</w:t>
      </w:r>
      <w:r w:rsidRPr="00DD58C2">
        <w:rPr>
          <w:lang w:val="en-US"/>
        </w:rPr>
        <w:t xml:space="preserve">. As we have seen, policy </w:t>
      </w:r>
      <w:r w:rsidR="00DD58C2" w:rsidRPr="00DD58C2">
        <w:rPr>
          <w:lang w:val="en-US"/>
        </w:rPr>
        <w:t>34</w:t>
      </w:r>
      <w:r w:rsidRPr="00DD58C2">
        <w:rPr>
          <w:lang w:val="en-US"/>
        </w:rPr>
        <w:t xml:space="preserve"> of the </w:t>
      </w:r>
      <w:r w:rsidR="00DD58C2" w:rsidRPr="00DD58C2">
        <w:rPr>
          <w:lang w:val="en-US"/>
        </w:rPr>
        <w:t>CLP requires 30% affordable housing on sites of 11 dwellings or more and on sites of 6 to 10 dwellings in areas designated as rural areas, the Council will seek a financial contribution for the provision of affordable dwellings as a commuted sum unless the developer makes onsite provision.</w:t>
      </w:r>
      <w:r w:rsidRPr="00DD58C2">
        <w:rPr>
          <w:lang w:val="en-US"/>
        </w:rPr>
        <w:t xml:space="preserve"> </w:t>
      </w:r>
    </w:p>
    <w:p w:rsidR="00DD58C2" w:rsidRPr="00DD58C2" w:rsidRDefault="00DD58C2" w:rsidP="009149D7">
      <w:pPr>
        <w:pStyle w:val="ListNumber"/>
        <w:rPr>
          <w:lang w:val="en-US"/>
        </w:rPr>
      </w:pPr>
      <w:r w:rsidRPr="00DD58C2">
        <w:rPr>
          <w:lang w:val="en-US"/>
        </w:rPr>
        <w:t xml:space="preserve">This suggests that, </w:t>
      </w:r>
      <w:r w:rsidR="00C215B9" w:rsidRPr="00DD58C2">
        <w:rPr>
          <w:lang w:val="en-US"/>
        </w:rPr>
        <w:t xml:space="preserve">assuming the </w:t>
      </w:r>
      <w:r w:rsidR="005F5CF8">
        <w:rPr>
          <w:lang w:val="en-US"/>
        </w:rPr>
        <w:t>Parish</w:t>
      </w:r>
      <w:r w:rsidR="00C215B9" w:rsidRPr="00DD58C2">
        <w:rPr>
          <w:lang w:val="en-US"/>
        </w:rPr>
        <w:t xml:space="preserve"> achieves the housing numbers set o</w:t>
      </w:r>
      <w:r w:rsidRPr="00DD58C2">
        <w:rPr>
          <w:lang w:val="en-US"/>
        </w:rPr>
        <w:t>ut in this study over the Plan p</w:t>
      </w:r>
      <w:r w:rsidR="00C215B9" w:rsidRPr="00DD58C2">
        <w:rPr>
          <w:lang w:val="en-US"/>
        </w:rPr>
        <w:t xml:space="preserve">eriod, it will </w:t>
      </w:r>
      <w:r w:rsidRPr="00DD58C2">
        <w:rPr>
          <w:lang w:val="en-US"/>
        </w:rPr>
        <w:t>have little difficulty meeting the</w:t>
      </w:r>
      <w:r w:rsidR="00C215B9" w:rsidRPr="00DD58C2">
        <w:rPr>
          <w:lang w:val="en-US"/>
        </w:rPr>
        <w:t xml:space="preserve"> need for AH </w:t>
      </w:r>
      <w:r w:rsidRPr="00DD58C2">
        <w:rPr>
          <w:lang w:val="en-US"/>
        </w:rPr>
        <w:t xml:space="preserve">based on the local authority’s’ HRWL  </w:t>
      </w:r>
      <w:r w:rsidR="00C215B9" w:rsidRPr="00DD58C2">
        <w:rPr>
          <w:lang w:val="en-US"/>
        </w:rPr>
        <w:t xml:space="preserve">given that </w:t>
      </w:r>
      <w:r w:rsidRPr="00DD58C2">
        <w:rPr>
          <w:lang w:val="en-US"/>
        </w:rPr>
        <w:t>182 dwellings may yield</w:t>
      </w:r>
      <w:r w:rsidR="00C215B9" w:rsidRPr="00DD58C2">
        <w:rPr>
          <w:lang w:val="en-US"/>
        </w:rPr>
        <w:t xml:space="preserve"> 5</w:t>
      </w:r>
      <w:r w:rsidRPr="00DD58C2">
        <w:rPr>
          <w:lang w:val="en-US"/>
        </w:rPr>
        <w:t>5</w:t>
      </w:r>
      <w:r w:rsidR="00C215B9" w:rsidRPr="00DD58C2">
        <w:rPr>
          <w:lang w:val="en-US"/>
        </w:rPr>
        <w:t xml:space="preserve"> dwellings (</w:t>
      </w:r>
      <w:r w:rsidRPr="00DD58C2">
        <w:rPr>
          <w:lang w:val="en-US"/>
        </w:rPr>
        <w:t>rounded</w:t>
      </w:r>
      <w:r w:rsidR="00C215B9" w:rsidRPr="00DD58C2">
        <w:rPr>
          <w:lang w:val="en-US"/>
        </w:rPr>
        <w:t xml:space="preserve">). </w:t>
      </w:r>
      <w:r w:rsidRPr="00DD58C2">
        <w:rPr>
          <w:lang w:val="en-US"/>
        </w:rPr>
        <w:t xml:space="preserve">Moreover, these enquiries are from people whose needs could be addressed elsewhere in the </w:t>
      </w:r>
      <w:r w:rsidR="005F5CF8">
        <w:rPr>
          <w:lang w:val="en-US"/>
        </w:rPr>
        <w:t>District</w:t>
      </w:r>
      <w:r w:rsidRPr="00DD58C2">
        <w:rPr>
          <w:lang w:val="en-US"/>
        </w:rPr>
        <w:t>.</w:t>
      </w:r>
    </w:p>
    <w:p w:rsidR="00C215B9" w:rsidRPr="00DD58C2" w:rsidRDefault="00DD58C2" w:rsidP="009149D7">
      <w:pPr>
        <w:pStyle w:val="ListNumber"/>
        <w:rPr>
          <w:lang w:val="en-US"/>
        </w:rPr>
      </w:pPr>
      <w:r w:rsidRPr="00DD58C2">
        <w:rPr>
          <w:lang w:val="en-US"/>
        </w:rPr>
        <w:t xml:space="preserve">Notwithstanding, it is important to note </w:t>
      </w:r>
      <w:r w:rsidR="00C215B9" w:rsidRPr="00DD58C2">
        <w:rPr>
          <w:lang w:val="en-US"/>
        </w:rPr>
        <w:t xml:space="preserve">this does not take account of any backlog of need and future needs arising. </w:t>
      </w:r>
    </w:p>
    <w:p w:rsidR="00C215B9" w:rsidRPr="002C0C27" w:rsidRDefault="00C215B9" w:rsidP="009149D7">
      <w:pPr>
        <w:pStyle w:val="ListNumber"/>
        <w:rPr>
          <w:lang w:val="en-US"/>
        </w:rPr>
      </w:pPr>
      <w:r w:rsidRPr="002C0C27">
        <w:rPr>
          <w:lang w:val="en-US"/>
        </w:rPr>
        <w:t xml:space="preserve">Given the strategic nature of Policy </w:t>
      </w:r>
      <w:r w:rsidR="00DD58C2" w:rsidRPr="002C0C27">
        <w:rPr>
          <w:lang w:val="en-US"/>
        </w:rPr>
        <w:t>34</w:t>
      </w:r>
      <w:r w:rsidRPr="002C0C27">
        <w:rPr>
          <w:lang w:val="en-US"/>
        </w:rPr>
        <w:t xml:space="preserve">, it will be challenging, within the neighbourhood plan, for the NDP to develop a policy that departs from it. On the basis of the evidence gathered, therefore, we do not see sufficient justification for the </w:t>
      </w:r>
      <w:r w:rsidR="00DD58C2" w:rsidRPr="002C0C27">
        <w:rPr>
          <w:lang w:val="en-US"/>
        </w:rPr>
        <w:t xml:space="preserve">West </w:t>
      </w:r>
      <w:proofErr w:type="spellStart"/>
      <w:r w:rsidR="00DD58C2" w:rsidRPr="002C0C27">
        <w:rPr>
          <w:lang w:val="en-US"/>
        </w:rPr>
        <w:t>Wittering</w:t>
      </w:r>
      <w:proofErr w:type="spellEnd"/>
      <w:r w:rsidRPr="002C0C27">
        <w:rPr>
          <w:lang w:val="en-US"/>
        </w:rPr>
        <w:t xml:space="preserve"> </w:t>
      </w:r>
      <w:proofErr w:type="spellStart"/>
      <w:r w:rsidRPr="002C0C27">
        <w:rPr>
          <w:lang w:val="en-US"/>
        </w:rPr>
        <w:t>Neighbourhood</w:t>
      </w:r>
      <w:proofErr w:type="spellEnd"/>
      <w:r w:rsidRPr="002C0C27">
        <w:rPr>
          <w:lang w:val="en-US"/>
        </w:rPr>
        <w:t xml:space="preserve"> Plan to set its own affordable housing target. </w:t>
      </w:r>
    </w:p>
    <w:p w:rsidR="00C215B9" w:rsidRPr="002C0C27" w:rsidRDefault="00C215B9" w:rsidP="009149D7">
      <w:pPr>
        <w:pStyle w:val="ListNumber"/>
        <w:rPr>
          <w:lang w:val="en-US"/>
        </w:rPr>
      </w:pPr>
      <w:r w:rsidRPr="002C0C27">
        <w:rPr>
          <w:lang w:val="en-US"/>
        </w:rPr>
        <w:lastRenderedPageBreak/>
        <w:t xml:space="preserve">Nevertheless, if </w:t>
      </w:r>
      <w:r w:rsidR="00DD58C2" w:rsidRPr="002C0C27">
        <w:rPr>
          <w:lang w:val="en-US"/>
        </w:rPr>
        <w:t>WW</w:t>
      </w:r>
      <w:r w:rsidRPr="002C0C27">
        <w:rPr>
          <w:lang w:val="en-US"/>
        </w:rPr>
        <w:t>PC is to have confidence it’s AH needs ar</w:t>
      </w:r>
      <w:r w:rsidR="00DD58C2" w:rsidRPr="002C0C27">
        <w:rPr>
          <w:lang w:val="en-US"/>
        </w:rPr>
        <w:t xml:space="preserve">e to be achieved in future years </w:t>
      </w:r>
      <w:r w:rsidRPr="002C0C27">
        <w:rPr>
          <w:lang w:val="en-US"/>
        </w:rPr>
        <w:t xml:space="preserve">an assertive position as regards AH should be adopted, together with additional evidence to show need within the NPA, for example a </w:t>
      </w:r>
      <w:r w:rsidR="005F5CF8">
        <w:rPr>
          <w:lang w:val="en-US"/>
        </w:rPr>
        <w:t>Parish</w:t>
      </w:r>
      <w:r w:rsidRPr="002C0C27">
        <w:rPr>
          <w:lang w:val="en-US"/>
        </w:rPr>
        <w:t xml:space="preserve">-level housing register waiting list (PHRWL). Such a register, if regularly maintained, would provide an up-to-date tool for attracting additional AH supported by robust evidence of local need, and justify the AH exception sites, if appropriate. </w:t>
      </w:r>
    </w:p>
    <w:p w:rsidR="00C215B9" w:rsidRPr="002C0C27" w:rsidRDefault="00C215B9" w:rsidP="009149D7">
      <w:pPr>
        <w:pStyle w:val="ListNumber"/>
        <w:rPr>
          <w:lang w:val="en-US"/>
        </w:rPr>
      </w:pPr>
      <w:r w:rsidRPr="002C0C27">
        <w:rPr>
          <w:lang w:val="en-US"/>
        </w:rPr>
        <w:t>In addition, a PHRWL could be used as a lobbying tool to resist cases where developers are seeking a low AH allocation on a given site or to re-negotiate S106 commitments to provide affordable housing part way through the delivery of a scheme.</w:t>
      </w:r>
    </w:p>
    <w:p w:rsidR="00142305" w:rsidRPr="0073415E" w:rsidRDefault="00142305" w:rsidP="009149D7">
      <w:pPr>
        <w:pStyle w:val="Heading2"/>
        <w:rPr>
          <w:lang w:val="en-US"/>
        </w:rPr>
      </w:pPr>
      <w:bookmarkStart w:id="104" w:name="_Toc504464743"/>
      <w:r w:rsidRPr="0073415E">
        <w:rPr>
          <w:lang w:val="en-US"/>
        </w:rPr>
        <w:t>Conclusions</w:t>
      </w:r>
      <w:bookmarkEnd w:id="104"/>
      <w:r w:rsidRPr="0073415E">
        <w:rPr>
          <w:lang w:val="en-US"/>
        </w:rPr>
        <w:t xml:space="preserve"> </w:t>
      </w:r>
    </w:p>
    <w:p w:rsidR="00142305" w:rsidRPr="0073415E" w:rsidRDefault="00D71466" w:rsidP="009149D7">
      <w:pPr>
        <w:pStyle w:val="ListNumber"/>
        <w:rPr>
          <w:lang w:val="en-US"/>
        </w:rPr>
      </w:pPr>
      <w:r w:rsidRPr="0073415E">
        <w:rPr>
          <w:lang w:val="en-US"/>
        </w:rPr>
        <w:t xml:space="preserve">Bringing together our findings relating to affordability, </w:t>
      </w:r>
      <w:r w:rsidR="00142305" w:rsidRPr="0073415E">
        <w:rPr>
          <w:lang w:val="en-US"/>
        </w:rPr>
        <w:t xml:space="preserve">the evidence we have gathered suggests roughly half of all households are able to access an entry level dwelling within the NPA; this increases to 70% when private rented sector dwellings are taken into consideration. </w:t>
      </w:r>
    </w:p>
    <w:p w:rsidR="00F02BD3" w:rsidRDefault="00142305" w:rsidP="009149D7">
      <w:pPr>
        <w:pStyle w:val="ListNumber"/>
        <w:rPr>
          <w:lang w:val="en-US"/>
        </w:rPr>
      </w:pPr>
      <w:r w:rsidRPr="0073415E">
        <w:rPr>
          <w:lang w:val="en-US"/>
        </w:rPr>
        <w:t xml:space="preserve">There is a stark contrast between the median affordability ratio (MAR) of 3.9 within </w:t>
      </w:r>
      <w:proofErr w:type="spellStart"/>
      <w:r w:rsidRPr="0073415E">
        <w:rPr>
          <w:lang w:val="en-US"/>
        </w:rPr>
        <w:t>Chichester</w:t>
      </w:r>
      <w:proofErr w:type="spellEnd"/>
      <w:r w:rsidRPr="0073415E">
        <w:rPr>
          <w:lang w:val="en-US"/>
        </w:rPr>
        <w:t xml:space="preserve"> South and the lower quartile affordability ratio (LQAR) for </w:t>
      </w:r>
      <w:proofErr w:type="spellStart"/>
      <w:r w:rsidRPr="0073415E">
        <w:rPr>
          <w:lang w:val="en-US"/>
        </w:rPr>
        <w:t>Chichester</w:t>
      </w:r>
      <w:proofErr w:type="spellEnd"/>
      <w:r w:rsidRPr="0073415E">
        <w:rPr>
          <w:lang w:val="en-US"/>
        </w:rPr>
        <w:t>, reported to be 10.41. Notwithstan</w:t>
      </w:r>
      <w:r w:rsidR="002C0C27">
        <w:rPr>
          <w:lang w:val="en-US"/>
        </w:rPr>
        <w:t>d</w:t>
      </w:r>
      <w:r w:rsidRPr="0073415E">
        <w:rPr>
          <w:lang w:val="en-US"/>
        </w:rPr>
        <w:t xml:space="preserve">ing the difference in geography, this suggests an acute affordability crisis at the </w:t>
      </w:r>
      <w:r w:rsidR="005F5CF8">
        <w:rPr>
          <w:lang w:val="en-US"/>
        </w:rPr>
        <w:t>District</w:t>
      </w:r>
      <w:r w:rsidRPr="0073415E">
        <w:rPr>
          <w:lang w:val="en-US"/>
        </w:rPr>
        <w:t xml:space="preserve"> level for those on lower incomes. It is reasonable to assume a similar position exists within the NPA given that, according to Land Registry price paid data house prices increased in West </w:t>
      </w:r>
      <w:proofErr w:type="spellStart"/>
      <w:r w:rsidRPr="0073415E">
        <w:rPr>
          <w:lang w:val="en-US"/>
        </w:rPr>
        <w:t>Wittering</w:t>
      </w:r>
      <w:proofErr w:type="spellEnd"/>
      <w:r w:rsidRPr="0073415E">
        <w:rPr>
          <w:lang w:val="en-US"/>
        </w:rPr>
        <w:t xml:space="preserve"> by 18% between 2007 and 2016 and, on average, </w:t>
      </w:r>
      <w:r w:rsidR="00F02BD3" w:rsidRPr="0073415E">
        <w:rPr>
          <w:lang w:val="en-US"/>
        </w:rPr>
        <w:t xml:space="preserve">dwellings in the settlement were 35% higher than for </w:t>
      </w:r>
      <w:proofErr w:type="spellStart"/>
      <w:r w:rsidR="00F02BD3" w:rsidRPr="0073415E">
        <w:rPr>
          <w:lang w:val="en-US"/>
        </w:rPr>
        <w:t>Chichester</w:t>
      </w:r>
      <w:proofErr w:type="spellEnd"/>
      <w:r w:rsidR="00F02BD3" w:rsidRPr="0073415E">
        <w:rPr>
          <w:lang w:val="en-US"/>
        </w:rPr>
        <w:t xml:space="preserve"> as a whole.</w:t>
      </w:r>
    </w:p>
    <w:p w:rsidR="002C0C27" w:rsidRDefault="002C0C27" w:rsidP="009149D7">
      <w:pPr>
        <w:pStyle w:val="ListNumber"/>
        <w:rPr>
          <w:lang w:val="en-US"/>
        </w:rPr>
      </w:pPr>
      <w:r>
        <w:rPr>
          <w:lang w:val="en-US"/>
        </w:rPr>
        <w:t xml:space="preserve">Based on evidence of need drawn from </w:t>
      </w:r>
      <w:proofErr w:type="spellStart"/>
      <w:r>
        <w:rPr>
          <w:lang w:val="en-US"/>
        </w:rPr>
        <w:t>Chichester’s</w:t>
      </w:r>
      <w:proofErr w:type="spellEnd"/>
      <w:r>
        <w:rPr>
          <w:lang w:val="en-US"/>
        </w:rPr>
        <w:t xml:space="preserve"> housing waiting list register (that shows 9 households expressing an interest in occupying housing in West </w:t>
      </w:r>
      <w:proofErr w:type="spellStart"/>
      <w:r>
        <w:rPr>
          <w:lang w:val="en-US"/>
        </w:rPr>
        <w:t>Wittering</w:t>
      </w:r>
      <w:proofErr w:type="spellEnd"/>
      <w:r>
        <w:rPr>
          <w:lang w:val="en-US"/>
        </w:rPr>
        <w:t xml:space="preserve">, there is no basis on which to seek a different proportion of affordable housing from development than Policy 34 of CLP. </w:t>
      </w:r>
    </w:p>
    <w:p w:rsidR="002C0C27" w:rsidRDefault="002C0C27" w:rsidP="009149D7">
      <w:pPr>
        <w:pStyle w:val="ListNumber"/>
        <w:rPr>
          <w:lang w:val="en-US"/>
        </w:rPr>
      </w:pPr>
      <w:r>
        <w:rPr>
          <w:lang w:val="en-US"/>
        </w:rPr>
        <w:t>However, given the conclusions in this study relating to affordability of housing on low incomes, WWPC should adopt an assertive attitude as regards the delivery of affordable housing</w:t>
      </w:r>
      <w:r w:rsidR="000D2F64">
        <w:rPr>
          <w:lang w:val="en-US"/>
        </w:rPr>
        <w:t xml:space="preserve"> in practice</w:t>
      </w:r>
      <w:r>
        <w:rPr>
          <w:lang w:val="en-US"/>
        </w:rPr>
        <w:t xml:space="preserve">. </w:t>
      </w:r>
    </w:p>
    <w:p w:rsidR="0028000E" w:rsidRPr="004264F1" w:rsidRDefault="0028000E" w:rsidP="004264F1">
      <w:pPr>
        <w:pStyle w:val="Heading3"/>
      </w:pPr>
      <w:bookmarkStart w:id="105" w:name="_Toc488669502"/>
      <w:r w:rsidRPr="004264F1">
        <w:t xml:space="preserve">Market </w:t>
      </w:r>
      <w:r w:rsidR="000D2F64">
        <w:t>s</w:t>
      </w:r>
      <w:r w:rsidRPr="004264F1">
        <w:t>egmentation</w:t>
      </w:r>
      <w:bookmarkEnd w:id="105"/>
    </w:p>
    <w:p w:rsidR="0028000E" w:rsidRPr="00D343F2" w:rsidRDefault="0028000E" w:rsidP="00A258B5">
      <w:pPr>
        <w:pStyle w:val="ListNumber"/>
      </w:pPr>
      <w:bookmarkStart w:id="106" w:name="_Toc487535543"/>
      <w:r w:rsidRPr="00D343F2">
        <w:t xml:space="preserve">Bringing together the evidence from our consideration of </w:t>
      </w:r>
      <w:r w:rsidRPr="00047FDB">
        <w:rPr>
          <w:u w:val="single"/>
        </w:rPr>
        <w:t>affordability</w:t>
      </w:r>
      <w:r w:rsidRPr="00D343F2">
        <w:t xml:space="preserve">, </w:t>
      </w:r>
      <w:r w:rsidRPr="00047FDB">
        <w:rPr>
          <w:u w:val="single"/>
        </w:rPr>
        <w:t>age structure</w:t>
      </w:r>
      <w:r w:rsidRPr="00D343F2">
        <w:t xml:space="preserve"> and </w:t>
      </w:r>
      <w:r w:rsidRPr="00047FDB">
        <w:rPr>
          <w:u w:val="single"/>
        </w:rPr>
        <w:t>household composition</w:t>
      </w:r>
      <w:r w:rsidRPr="00D343F2">
        <w:t xml:space="preserve">, in line with PPG, we have sought to identify the different market segments in the population of </w:t>
      </w:r>
      <w:r w:rsidR="0086608E">
        <w:t>West Wittering</w:t>
      </w:r>
      <w:r w:rsidRPr="00D343F2">
        <w:t xml:space="preserve">. We then use this understanding to put forward recommendations for policy relating to Affordable Housing as well as and size and tenure of dwelling. </w:t>
      </w:r>
    </w:p>
    <w:p w:rsidR="0028000E" w:rsidRDefault="0028000E" w:rsidP="00A258B5">
      <w:pPr>
        <w:pStyle w:val="ListNumber"/>
        <w:rPr>
          <w:rFonts w:ascii="Arial" w:hAnsi="Arial" w:cs="Arial"/>
        </w:rPr>
      </w:pPr>
      <w:r w:rsidRPr="00D343F2">
        <w:rPr>
          <w:rFonts w:ascii="Arial" w:hAnsi="Arial" w:cs="Arial"/>
        </w:rPr>
        <w:t>In order to understand the terminology surrounding size of dwellings, it is important to note the number of rooms recorded in Census excludes kitchen, bathrooms and toilets. In the market segments table that follows, ‘dwelling size’ should be translated as follows</w:t>
      </w:r>
      <w:bookmarkEnd w:id="106"/>
      <w:r>
        <w:rPr>
          <w:rFonts w:ascii="Arial" w:hAnsi="Arial" w:cs="Arial"/>
        </w:rPr>
        <w:t>:</w:t>
      </w:r>
    </w:p>
    <w:p w:rsidR="0028000E" w:rsidRPr="00091930" w:rsidRDefault="0028000E" w:rsidP="00B25544">
      <w:pPr>
        <w:pStyle w:val="ListNumber"/>
        <w:numPr>
          <w:ilvl w:val="0"/>
          <w:numId w:val="31"/>
        </w:numPr>
        <w:spacing w:line="240" w:lineRule="auto"/>
      </w:pPr>
      <w:r w:rsidRPr="00091930">
        <w:t xml:space="preserve">1 room = </w:t>
      </w:r>
      <w:r w:rsidR="000D2F64">
        <w:t>b</w:t>
      </w:r>
      <w:r w:rsidRPr="00091930">
        <w:t>edsit</w:t>
      </w:r>
    </w:p>
    <w:p w:rsidR="0028000E" w:rsidRPr="00091930" w:rsidRDefault="0028000E" w:rsidP="00B25544">
      <w:pPr>
        <w:pStyle w:val="ListNumber"/>
        <w:numPr>
          <w:ilvl w:val="0"/>
          <w:numId w:val="31"/>
        </w:numPr>
        <w:spacing w:line="240" w:lineRule="auto"/>
      </w:pPr>
      <w:r w:rsidRPr="00091930">
        <w:t>2 rooms = flat/house with one bedroom</w:t>
      </w:r>
    </w:p>
    <w:p w:rsidR="0028000E" w:rsidRPr="00091930" w:rsidRDefault="0028000E" w:rsidP="00B25544">
      <w:pPr>
        <w:pStyle w:val="ListNumber"/>
        <w:numPr>
          <w:ilvl w:val="0"/>
          <w:numId w:val="31"/>
        </w:numPr>
        <w:spacing w:line="240" w:lineRule="auto"/>
      </w:pPr>
      <w:r w:rsidRPr="00091930">
        <w:t>3 rooms = flat/house 2 bedrooms</w:t>
      </w:r>
    </w:p>
    <w:p w:rsidR="0028000E" w:rsidRPr="00091930" w:rsidRDefault="0028000E" w:rsidP="00B25544">
      <w:pPr>
        <w:pStyle w:val="ListNumber"/>
        <w:numPr>
          <w:ilvl w:val="0"/>
          <w:numId w:val="31"/>
        </w:numPr>
        <w:spacing w:line="240" w:lineRule="auto"/>
      </w:pPr>
      <w:r w:rsidRPr="00091930">
        <w:t>4 rooms = flat/house with 2 bedroom</w:t>
      </w:r>
      <w:r w:rsidR="000D2F64">
        <w:t>s</w:t>
      </w:r>
      <w:r w:rsidRPr="00091930">
        <w:t xml:space="preserve"> and 2 reception rooms, or 3 bedrooms and 1reception room</w:t>
      </w:r>
    </w:p>
    <w:p w:rsidR="0028000E" w:rsidRPr="00091930" w:rsidRDefault="0028000E" w:rsidP="00B25544">
      <w:pPr>
        <w:pStyle w:val="ListNumber"/>
        <w:numPr>
          <w:ilvl w:val="0"/>
          <w:numId w:val="31"/>
        </w:numPr>
        <w:spacing w:line="240" w:lineRule="auto"/>
      </w:pPr>
      <w:r w:rsidRPr="00091930">
        <w:t>5 rooms = flat/house with 3 bedrooms and 2 reception rooms</w:t>
      </w:r>
    </w:p>
    <w:p w:rsidR="0028000E" w:rsidRPr="00091930" w:rsidRDefault="0028000E" w:rsidP="00B25544">
      <w:pPr>
        <w:pStyle w:val="ListNumber"/>
        <w:numPr>
          <w:ilvl w:val="0"/>
          <w:numId w:val="31"/>
        </w:numPr>
        <w:spacing w:line="240" w:lineRule="auto"/>
      </w:pPr>
      <w:r w:rsidRPr="00091930">
        <w:t>6 rooms = house with 3 bedrooms and 3 reception rooms or 4 bedrooms and 2</w:t>
      </w:r>
      <w:r w:rsidR="00B25544">
        <w:t xml:space="preserve"> </w:t>
      </w:r>
      <w:r w:rsidRPr="00091930">
        <w:t>reception rooms</w:t>
      </w:r>
    </w:p>
    <w:p w:rsidR="0028000E" w:rsidRPr="00091930" w:rsidRDefault="0028000E" w:rsidP="00B25544">
      <w:pPr>
        <w:pStyle w:val="ListNumber"/>
        <w:numPr>
          <w:ilvl w:val="0"/>
          <w:numId w:val="31"/>
        </w:numPr>
        <w:spacing w:line="240" w:lineRule="auto"/>
      </w:pPr>
      <w:r w:rsidRPr="00091930">
        <w:t>7+ rooms = house with 4, 5 or more bedrooms house</w:t>
      </w:r>
    </w:p>
    <w:p w:rsidR="00047FDB" w:rsidRPr="00047FDB" w:rsidRDefault="00047FDB" w:rsidP="00A258B5">
      <w:pPr>
        <w:pStyle w:val="ListNumber"/>
      </w:pPr>
      <w:r w:rsidRPr="00047FDB">
        <w:t xml:space="preserve">The table </w:t>
      </w:r>
      <w:r w:rsidR="00B25544">
        <w:t>on the page below</w:t>
      </w:r>
      <w:r w:rsidRPr="00047FDB">
        <w:t xml:space="preserve"> indicates the different market segments, and the degree to which they are a growing, stable or declining group within the local population. One ‘up’ arrow indicates this grouping is growing modestly in the NPA; two ‘up’ arrows indicates strong growth, three ‘up’ arrows suggests very rapid growth in years to come. Where segments are falling in numbers, or not growing, neutral or down arrows are shown. </w:t>
      </w:r>
    </w:p>
    <w:p w:rsidR="00047FDB" w:rsidRPr="00047FDB" w:rsidRDefault="00F56C86" w:rsidP="00A258B5">
      <w:pPr>
        <w:pStyle w:val="ListNumber"/>
        <w:rPr>
          <w:rFonts w:ascii="Arial" w:hAnsi="Arial" w:cs="Arial"/>
        </w:rPr>
      </w:pPr>
      <w:r w:rsidRPr="00047FDB">
        <w:rPr>
          <w:rFonts w:ascii="Arial" w:hAnsi="Arial" w:cs="Arial"/>
        </w:rPr>
        <w:t xml:space="preserve">It is important to note that, </w:t>
      </w:r>
      <w:r>
        <w:rPr>
          <w:rFonts w:ascii="Arial" w:hAnsi="Arial" w:cs="Arial"/>
        </w:rPr>
        <w:t>the private sector is good at picking up market trends that result from, among other factors, changes in social behaviours and demographic shifts</w:t>
      </w:r>
      <w:r w:rsidRPr="00047FDB">
        <w:rPr>
          <w:rFonts w:ascii="Arial" w:hAnsi="Arial" w:cs="Arial"/>
        </w:rPr>
        <w:t xml:space="preserve">. </w:t>
      </w:r>
      <w:r w:rsidR="00047FDB" w:rsidRPr="00047FDB">
        <w:rPr>
          <w:rFonts w:ascii="Arial" w:hAnsi="Arial" w:cs="Arial"/>
        </w:rPr>
        <w:t xml:space="preserve">For this reason, policy intervention is only justified in the case of market failure (where the market is unable, for reasons of viability, or there are incentives, deliberate or otherwise, that drive the market not to respond to trends). Examples include the </w:t>
      </w:r>
      <w:r w:rsidR="0086608E">
        <w:rPr>
          <w:rFonts w:ascii="Arial" w:hAnsi="Arial" w:cs="Arial"/>
        </w:rPr>
        <w:t>provision of</w:t>
      </w:r>
      <w:r w:rsidR="00047FDB" w:rsidRPr="00047FDB">
        <w:rPr>
          <w:rFonts w:ascii="Arial" w:hAnsi="Arial" w:cs="Arial"/>
        </w:rPr>
        <w:t xml:space="preserve"> homes to those on low incomes and the under-supply of dwellings for the elderly. </w:t>
      </w:r>
    </w:p>
    <w:p w:rsidR="00047FDB" w:rsidRPr="00047FDB" w:rsidRDefault="00F56C86" w:rsidP="00A258B5">
      <w:pPr>
        <w:pStyle w:val="ListNumber"/>
        <w:rPr>
          <w:rFonts w:ascii="Arial" w:hAnsi="Arial" w:cs="Arial"/>
        </w:rPr>
      </w:pPr>
      <w:r w:rsidRPr="00047FDB">
        <w:rPr>
          <w:rFonts w:ascii="Arial" w:hAnsi="Arial" w:cs="Arial"/>
        </w:rPr>
        <w:lastRenderedPageBreak/>
        <w:t>S</w:t>
      </w:r>
      <w:r>
        <w:rPr>
          <w:rFonts w:ascii="Arial" w:hAnsi="Arial" w:cs="Arial"/>
        </w:rPr>
        <w:t xml:space="preserve">imilarly, because, generally speaking, the market is able to </w:t>
      </w:r>
      <w:r w:rsidRPr="00047FDB">
        <w:rPr>
          <w:rFonts w:ascii="Arial" w:hAnsi="Arial" w:cs="Arial"/>
        </w:rPr>
        <w:t xml:space="preserve">deliver the homes required for the majority of residents </w:t>
      </w:r>
      <w:r w:rsidR="00047FDB" w:rsidRPr="00047FDB">
        <w:rPr>
          <w:rFonts w:ascii="Arial" w:hAnsi="Arial" w:cs="Arial"/>
        </w:rPr>
        <w:t xml:space="preserve">(either through for-sale dwellings or for-rent), policy intervention is only required where the evidence is both compelling and the circumstances it describes serious. This is because policies carry both costs and risks; this can distort the market, preventing it from providing homes (and encouraging a position of market equilibrium in which homes are accessible to target markets). </w:t>
      </w:r>
    </w:p>
    <w:p w:rsidR="0086608E" w:rsidRPr="00A258B5" w:rsidRDefault="0086608E" w:rsidP="00A258B5">
      <w:pPr>
        <w:pStyle w:val="ListNumber"/>
        <w:rPr>
          <w:color w:val="000000" w:themeColor="text1"/>
          <w:lang w:val="en-US"/>
        </w:rPr>
      </w:pPr>
      <w:r w:rsidRPr="0086608E">
        <w:rPr>
          <w:color w:val="000000" w:themeColor="text1"/>
          <w:lang w:val="en-US"/>
        </w:rPr>
        <w:t xml:space="preserve">In the case of West </w:t>
      </w:r>
      <w:proofErr w:type="spellStart"/>
      <w:r w:rsidRPr="0086608E">
        <w:rPr>
          <w:color w:val="000000" w:themeColor="text1"/>
          <w:lang w:val="en-US"/>
        </w:rPr>
        <w:t>Wittering</w:t>
      </w:r>
      <w:proofErr w:type="spellEnd"/>
      <w:r w:rsidRPr="0086608E">
        <w:rPr>
          <w:color w:val="000000" w:themeColor="text1"/>
          <w:lang w:val="en-US"/>
        </w:rPr>
        <w:t xml:space="preserve">, these conditions are captured </w:t>
      </w:r>
      <w:r>
        <w:rPr>
          <w:color w:val="000000" w:themeColor="text1"/>
          <w:lang w:val="en-US"/>
        </w:rPr>
        <w:t>in the substantial forecast increase in the numbers of those aged 65 and over; this calls for a policy response to address the specif</w:t>
      </w:r>
      <w:r w:rsidR="00C543C6">
        <w:rPr>
          <w:color w:val="000000" w:themeColor="text1"/>
          <w:lang w:val="en-US"/>
        </w:rPr>
        <w:t xml:space="preserve">ic needs of this market segment; this is discussed in more detail later in this HNA. </w:t>
      </w:r>
      <w:r>
        <w:rPr>
          <w:color w:val="000000" w:themeColor="text1"/>
          <w:lang w:val="en-US"/>
        </w:rPr>
        <w:t xml:space="preserve"> </w:t>
      </w:r>
    </w:p>
    <w:p w:rsidR="00047FDB" w:rsidRPr="00B25544" w:rsidRDefault="0086608E" w:rsidP="00B25544">
      <w:pPr>
        <w:pStyle w:val="ListNumber"/>
        <w:rPr>
          <w:color w:val="000000" w:themeColor="text1"/>
          <w:lang w:val="en-US"/>
        </w:rPr>
      </w:pPr>
      <w:r>
        <w:rPr>
          <w:color w:val="000000" w:themeColor="text1"/>
          <w:lang w:val="en-US"/>
        </w:rPr>
        <w:t xml:space="preserve">A further trend that threatens to undermine the vitality and viability of the settlement is the fall in the number of younger families in the NPA over the Plan period, particularly those with dependent children. </w:t>
      </w:r>
      <w:r w:rsidR="002570E9">
        <w:rPr>
          <w:color w:val="000000" w:themeColor="text1"/>
          <w:lang w:val="en-US"/>
        </w:rPr>
        <w:t xml:space="preserve">Clearly, if this trend continues, it </w:t>
      </w:r>
      <w:r w:rsidR="00C543C6">
        <w:rPr>
          <w:color w:val="000000" w:themeColor="text1"/>
          <w:lang w:val="en-US"/>
        </w:rPr>
        <w:t xml:space="preserve">is likely to reduce demand for </w:t>
      </w:r>
      <w:r w:rsidR="002570E9">
        <w:rPr>
          <w:color w:val="000000" w:themeColor="text1"/>
          <w:lang w:val="en-US"/>
        </w:rPr>
        <w:t>infrastructure</w:t>
      </w:r>
      <w:r w:rsidR="00C543C6">
        <w:rPr>
          <w:color w:val="000000" w:themeColor="text1"/>
          <w:lang w:val="en-US"/>
        </w:rPr>
        <w:t xml:space="preserve"> targeted at families</w:t>
      </w:r>
      <w:r w:rsidR="002570E9">
        <w:rPr>
          <w:color w:val="000000" w:themeColor="text1"/>
          <w:lang w:val="en-US"/>
        </w:rPr>
        <w:t xml:space="preserve">, for example primary schools and </w:t>
      </w:r>
      <w:proofErr w:type="gramStart"/>
      <w:r w:rsidR="00C543C6">
        <w:rPr>
          <w:color w:val="000000" w:themeColor="text1"/>
          <w:lang w:val="en-US"/>
        </w:rPr>
        <w:t>play</w:t>
      </w:r>
      <w:proofErr w:type="gramEnd"/>
      <w:r w:rsidR="00C543C6">
        <w:rPr>
          <w:color w:val="000000" w:themeColor="text1"/>
          <w:lang w:val="en-US"/>
        </w:rPr>
        <w:t xml:space="preserve"> </w:t>
      </w:r>
      <w:r w:rsidR="002570E9">
        <w:rPr>
          <w:color w:val="000000" w:themeColor="text1"/>
          <w:lang w:val="en-US"/>
        </w:rPr>
        <w:t>services</w:t>
      </w:r>
      <w:r w:rsidR="00C543C6">
        <w:rPr>
          <w:color w:val="000000" w:themeColor="text1"/>
          <w:lang w:val="en-US"/>
        </w:rPr>
        <w:t xml:space="preserve"> and may undermine the vitality and viability of neighbourhood. </w:t>
      </w:r>
    </w:p>
    <w:p w:rsidR="00A258B5" w:rsidRDefault="00A258B5" w:rsidP="00A258B5">
      <w:pPr>
        <w:pStyle w:val="Caption"/>
      </w:pPr>
      <w:r>
        <w:t xml:space="preserve">Table </w:t>
      </w:r>
      <w:fldSimple w:instr=" SEQ Table \* ARABIC ">
        <w:r w:rsidR="00B25544">
          <w:rPr>
            <w:noProof/>
          </w:rPr>
          <w:t>12</w:t>
        </w:r>
      </w:fldSimple>
      <w:r>
        <w:t xml:space="preserve">: Market </w:t>
      </w:r>
      <w:r w:rsidR="004D6078">
        <w:t>s</w:t>
      </w:r>
      <w:r>
        <w:t xml:space="preserve">egments </w:t>
      </w:r>
      <w:r w:rsidR="004D6078">
        <w:t>a</w:t>
      </w:r>
      <w:r>
        <w:t>nalysis</w:t>
      </w:r>
    </w:p>
    <w:tbl>
      <w:tblPr>
        <w:tblW w:w="9080" w:type="dxa"/>
        <w:tblInd w:w="93" w:type="dxa"/>
        <w:tblLook w:val="04A0" w:firstRow="1" w:lastRow="0" w:firstColumn="1" w:lastColumn="0" w:noHBand="0" w:noVBand="1"/>
      </w:tblPr>
      <w:tblGrid>
        <w:gridCol w:w="2593"/>
        <w:gridCol w:w="1394"/>
        <w:gridCol w:w="1831"/>
        <w:gridCol w:w="1953"/>
        <w:gridCol w:w="1309"/>
      </w:tblGrid>
      <w:tr w:rsidR="007B4DC1" w:rsidRPr="00091930" w:rsidTr="00A258B5">
        <w:trPr>
          <w:trHeight w:val="615"/>
        </w:trPr>
        <w:tc>
          <w:tcPr>
            <w:tcW w:w="2593" w:type="dxa"/>
            <w:tcBorders>
              <w:top w:val="single" w:sz="8" w:space="0" w:color="auto"/>
              <w:left w:val="single" w:sz="8" w:space="0" w:color="auto"/>
              <w:bottom w:val="single" w:sz="8" w:space="0" w:color="auto"/>
              <w:right w:val="single" w:sz="8" w:space="0" w:color="auto"/>
            </w:tcBorders>
            <w:shd w:val="clear" w:color="000000" w:fill="000000"/>
            <w:vAlign w:val="center"/>
            <w:hideMark/>
          </w:tcPr>
          <w:p w:rsidR="007B4DC1" w:rsidRPr="00091930" w:rsidRDefault="007B4DC1" w:rsidP="00BF22EF">
            <w:pPr>
              <w:tabs>
                <w:tab w:val="clear" w:pos="284"/>
              </w:tabs>
              <w:spacing w:line="240" w:lineRule="auto"/>
              <w:jc w:val="center"/>
              <w:rPr>
                <w:rFonts w:ascii="Arial" w:eastAsia="Times New Roman" w:hAnsi="Arial" w:cs="Arial"/>
                <w:b/>
                <w:bCs/>
                <w:color w:val="FFFFFF"/>
                <w:kern w:val="0"/>
                <w:lang w:eastAsia="en-GB"/>
              </w:rPr>
            </w:pPr>
            <w:r w:rsidRPr="00091930">
              <w:rPr>
                <w:rFonts w:ascii="Arial" w:eastAsia="Times New Roman" w:hAnsi="Arial" w:cs="Arial"/>
                <w:b/>
                <w:bCs/>
                <w:color w:val="FFFFFF"/>
                <w:kern w:val="0"/>
                <w:lang w:eastAsia="en-GB"/>
              </w:rPr>
              <w:t xml:space="preserve">Market segments </w:t>
            </w:r>
          </w:p>
        </w:tc>
        <w:tc>
          <w:tcPr>
            <w:tcW w:w="1394" w:type="dxa"/>
            <w:tcBorders>
              <w:top w:val="single" w:sz="8" w:space="0" w:color="auto"/>
              <w:left w:val="nil"/>
              <w:bottom w:val="single" w:sz="8" w:space="0" w:color="auto"/>
              <w:right w:val="single" w:sz="8" w:space="0" w:color="auto"/>
            </w:tcBorders>
            <w:shd w:val="clear" w:color="000000" w:fill="000000"/>
            <w:vAlign w:val="center"/>
            <w:hideMark/>
          </w:tcPr>
          <w:p w:rsidR="007B4DC1" w:rsidRPr="00091930" w:rsidRDefault="007B4DC1" w:rsidP="00BF22EF">
            <w:pPr>
              <w:tabs>
                <w:tab w:val="clear" w:pos="284"/>
              </w:tabs>
              <w:spacing w:line="240" w:lineRule="auto"/>
              <w:jc w:val="center"/>
              <w:rPr>
                <w:rFonts w:ascii="Arial" w:eastAsia="Times New Roman" w:hAnsi="Arial" w:cs="Arial"/>
                <w:b/>
                <w:bCs/>
                <w:color w:val="FFFFFF"/>
                <w:kern w:val="0"/>
                <w:lang w:eastAsia="en-GB"/>
              </w:rPr>
            </w:pPr>
            <w:r w:rsidRPr="00091930">
              <w:rPr>
                <w:rFonts w:ascii="Arial" w:eastAsia="Times New Roman" w:hAnsi="Arial" w:cs="Arial"/>
                <w:b/>
                <w:bCs/>
                <w:color w:val="FFFFFF"/>
                <w:kern w:val="0"/>
                <w:lang w:eastAsia="en-GB"/>
              </w:rPr>
              <w:t>Income range</w:t>
            </w:r>
          </w:p>
        </w:tc>
        <w:tc>
          <w:tcPr>
            <w:tcW w:w="1831" w:type="dxa"/>
            <w:tcBorders>
              <w:top w:val="single" w:sz="8" w:space="0" w:color="auto"/>
              <w:left w:val="nil"/>
              <w:bottom w:val="single" w:sz="8" w:space="0" w:color="auto"/>
              <w:right w:val="single" w:sz="8" w:space="0" w:color="auto"/>
            </w:tcBorders>
            <w:shd w:val="clear" w:color="000000" w:fill="000000"/>
            <w:vAlign w:val="center"/>
            <w:hideMark/>
          </w:tcPr>
          <w:p w:rsidR="007B4DC1" w:rsidRPr="00091930" w:rsidRDefault="007B4DC1" w:rsidP="00BF22EF">
            <w:pPr>
              <w:tabs>
                <w:tab w:val="clear" w:pos="284"/>
              </w:tabs>
              <w:spacing w:line="240" w:lineRule="auto"/>
              <w:jc w:val="center"/>
              <w:rPr>
                <w:rFonts w:ascii="Arial" w:eastAsia="Times New Roman" w:hAnsi="Arial" w:cs="Arial"/>
                <w:b/>
                <w:bCs/>
                <w:color w:val="FFFFFF"/>
                <w:kern w:val="0"/>
                <w:lang w:eastAsia="en-GB"/>
              </w:rPr>
            </w:pPr>
            <w:r w:rsidRPr="00091930">
              <w:rPr>
                <w:rFonts w:ascii="Arial" w:eastAsia="Times New Roman" w:hAnsi="Arial" w:cs="Arial"/>
                <w:b/>
                <w:bCs/>
                <w:color w:val="FFFFFF"/>
                <w:kern w:val="0"/>
                <w:lang w:eastAsia="en-GB"/>
              </w:rPr>
              <w:t>Tenure</w:t>
            </w:r>
          </w:p>
        </w:tc>
        <w:tc>
          <w:tcPr>
            <w:tcW w:w="1953" w:type="dxa"/>
            <w:tcBorders>
              <w:top w:val="single" w:sz="8" w:space="0" w:color="auto"/>
              <w:left w:val="nil"/>
              <w:bottom w:val="single" w:sz="8" w:space="0" w:color="auto"/>
              <w:right w:val="single" w:sz="8" w:space="0" w:color="auto"/>
            </w:tcBorders>
            <w:shd w:val="clear" w:color="000000" w:fill="000000"/>
            <w:vAlign w:val="center"/>
            <w:hideMark/>
          </w:tcPr>
          <w:p w:rsidR="007B4DC1" w:rsidRPr="00091930" w:rsidRDefault="007B4DC1" w:rsidP="00BF22EF">
            <w:pPr>
              <w:tabs>
                <w:tab w:val="clear" w:pos="284"/>
              </w:tabs>
              <w:spacing w:line="240" w:lineRule="auto"/>
              <w:jc w:val="center"/>
              <w:rPr>
                <w:rFonts w:ascii="Arial" w:eastAsia="Times New Roman" w:hAnsi="Arial" w:cs="Arial"/>
                <w:b/>
                <w:bCs/>
                <w:color w:val="FFFFFF"/>
                <w:kern w:val="0"/>
                <w:lang w:eastAsia="en-GB"/>
              </w:rPr>
            </w:pPr>
            <w:r w:rsidRPr="00091930">
              <w:rPr>
                <w:rFonts w:ascii="Arial" w:eastAsia="Times New Roman" w:hAnsi="Arial" w:cs="Arial"/>
                <w:b/>
                <w:bCs/>
                <w:color w:val="FFFFFF"/>
                <w:kern w:val="0"/>
                <w:lang w:eastAsia="en-GB"/>
              </w:rPr>
              <w:t>Presence in Plan Area</w:t>
            </w:r>
          </w:p>
        </w:tc>
        <w:tc>
          <w:tcPr>
            <w:tcW w:w="1309" w:type="dxa"/>
            <w:tcBorders>
              <w:top w:val="single" w:sz="8" w:space="0" w:color="auto"/>
              <w:left w:val="nil"/>
              <w:bottom w:val="single" w:sz="8" w:space="0" w:color="auto"/>
              <w:right w:val="single" w:sz="8" w:space="0" w:color="auto"/>
            </w:tcBorders>
            <w:shd w:val="clear" w:color="000000" w:fill="000000"/>
            <w:vAlign w:val="center"/>
            <w:hideMark/>
          </w:tcPr>
          <w:p w:rsidR="007B4DC1" w:rsidRPr="00091930" w:rsidRDefault="007B4DC1" w:rsidP="00BF22EF">
            <w:pPr>
              <w:tabs>
                <w:tab w:val="clear" w:pos="284"/>
              </w:tabs>
              <w:spacing w:line="240" w:lineRule="auto"/>
              <w:jc w:val="center"/>
              <w:rPr>
                <w:rFonts w:ascii="Arial" w:eastAsia="Times New Roman" w:hAnsi="Arial" w:cs="Arial"/>
                <w:b/>
                <w:bCs/>
                <w:color w:val="FFFFFF"/>
                <w:kern w:val="0"/>
                <w:lang w:eastAsia="en-GB"/>
              </w:rPr>
            </w:pPr>
            <w:r w:rsidRPr="00091930">
              <w:rPr>
                <w:rFonts w:ascii="Arial" w:eastAsia="Times New Roman" w:hAnsi="Arial" w:cs="Arial"/>
                <w:b/>
                <w:bCs/>
                <w:color w:val="FFFFFF"/>
                <w:kern w:val="0"/>
                <w:lang w:eastAsia="en-GB"/>
              </w:rPr>
              <w:t>Size of home</w:t>
            </w:r>
          </w:p>
        </w:tc>
      </w:tr>
      <w:tr w:rsidR="007B4DC1" w:rsidRPr="00091930" w:rsidTr="00A258B5">
        <w:trPr>
          <w:trHeight w:val="915"/>
        </w:trPr>
        <w:tc>
          <w:tcPr>
            <w:tcW w:w="2593" w:type="dxa"/>
            <w:tcBorders>
              <w:top w:val="nil"/>
              <w:left w:val="single" w:sz="8" w:space="0" w:color="auto"/>
              <w:bottom w:val="single" w:sz="8" w:space="0" w:color="auto"/>
              <w:right w:val="single" w:sz="8" w:space="0" w:color="auto"/>
            </w:tcBorders>
            <w:shd w:val="clear" w:color="auto" w:fill="auto"/>
            <w:vAlign w:val="center"/>
            <w:hideMark/>
          </w:tcPr>
          <w:p w:rsidR="001C2FF7" w:rsidRDefault="001C2FF7" w:rsidP="00BF22EF">
            <w:pPr>
              <w:tabs>
                <w:tab w:val="clear" w:pos="284"/>
              </w:tabs>
              <w:spacing w:line="240" w:lineRule="auto"/>
              <w:rPr>
                <w:rFonts w:ascii="Arial" w:eastAsia="Times New Roman" w:hAnsi="Arial" w:cs="Arial"/>
                <w:color w:val="000000"/>
                <w:kern w:val="0"/>
                <w:lang w:eastAsia="en-GB"/>
              </w:rPr>
            </w:pPr>
          </w:p>
          <w:p w:rsidR="007B4DC1" w:rsidRDefault="007B4DC1" w:rsidP="00BF22EF">
            <w:pPr>
              <w:tabs>
                <w:tab w:val="clear" w:pos="284"/>
              </w:tabs>
              <w:spacing w:line="240" w:lineRule="auto"/>
              <w:rPr>
                <w:rFonts w:ascii="Arial" w:eastAsia="Times New Roman" w:hAnsi="Arial" w:cs="Arial"/>
                <w:color w:val="000000"/>
                <w:kern w:val="0"/>
                <w:lang w:eastAsia="en-GB"/>
              </w:rPr>
            </w:pPr>
            <w:r w:rsidRPr="00091930">
              <w:rPr>
                <w:rFonts w:ascii="Arial" w:eastAsia="Times New Roman" w:hAnsi="Arial" w:cs="Arial"/>
                <w:color w:val="000000"/>
                <w:kern w:val="0"/>
                <w:lang w:eastAsia="en-GB"/>
              </w:rPr>
              <w:t xml:space="preserve">Young family where parents are aged 24-44 with </w:t>
            </w:r>
            <w:r>
              <w:rPr>
                <w:rFonts w:ascii="Arial" w:eastAsia="Times New Roman" w:hAnsi="Arial" w:cs="Arial"/>
                <w:color w:val="000000"/>
                <w:kern w:val="0"/>
                <w:lang w:eastAsia="en-GB"/>
              </w:rPr>
              <w:t xml:space="preserve">1+ children </w:t>
            </w:r>
            <w:r w:rsidRPr="00091930">
              <w:rPr>
                <w:rFonts w:ascii="Arial" w:eastAsia="Times New Roman" w:hAnsi="Arial" w:cs="Arial"/>
                <w:color w:val="000000"/>
                <w:kern w:val="0"/>
                <w:lang w:eastAsia="en-GB"/>
              </w:rPr>
              <w:t>aged 0-15</w:t>
            </w:r>
          </w:p>
          <w:p w:rsidR="001C2FF7" w:rsidRPr="00091930" w:rsidRDefault="001C2FF7" w:rsidP="00BF22EF">
            <w:pPr>
              <w:tabs>
                <w:tab w:val="clear" w:pos="284"/>
              </w:tabs>
              <w:spacing w:line="240" w:lineRule="auto"/>
              <w:rPr>
                <w:rFonts w:ascii="Arial" w:eastAsia="Times New Roman" w:hAnsi="Arial" w:cs="Arial"/>
                <w:color w:val="000000"/>
                <w:kern w:val="0"/>
                <w:lang w:eastAsia="en-GB"/>
              </w:rPr>
            </w:pPr>
          </w:p>
        </w:tc>
        <w:tc>
          <w:tcPr>
            <w:tcW w:w="1394" w:type="dxa"/>
            <w:tcBorders>
              <w:top w:val="nil"/>
              <w:left w:val="nil"/>
              <w:bottom w:val="single" w:sz="8" w:space="0" w:color="auto"/>
              <w:right w:val="single" w:sz="8" w:space="0" w:color="auto"/>
            </w:tcBorders>
            <w:shd w:val="clear" w:color="auto" w:fill="auto"/>
            <w:vAlign w:val="center"/>
            <w:hideMark/>
          </w:tcPr>
          <w:p w:rsidR="007B4DC1" w:rsidRPr="00091930" w:rsidRDefault="007B4DC1" w:rsidP="00BF22EF">
            <w:pPr>
              <w:tabs>
                <w:tab w:val="clear" w:pos="284"/>
              </w:tabs>
              <w:spacing w:line="240" w:lineRule="auto"/>
              <w:rPr>
                <w:rFonts w:ascii="Arial" w:eastAsia="Times New Roman" w:hAnsi="Arial" w:cs="Arial"/>
                <w:color w:val="000000"/>
                <w:kern w:val="0"/>
                <w:lang w:eastAsia="en-GB"/>
              </w:rPr>
            </w:pPr>
            <w:r w:rsidRPr="00091930">
              <w:rPr>
                <w:rFonts w:ascii="Arial" w:eastAsia="Times New Roman" w:hAnsi="Arial" w:cs="Arial"/>
                <w:color w:val="000000"/>
                <w:kern w:val="0"/>
                <w:lang w:eastAsia="en-GB"/>
              </w:rPr>
              <w:t>Median</w:t>
            </w:r>
          </w:p>
        </w:tc>
        <w:tc>
          <w:tcPr>
            <w:tcW w:w="1831" w:type="dxa"/>
            <w:tcBorders>
              <w:top w:val="nil"/>
              <w:left w:val="nil"/>
              <w:bottom w:val="single" w:sz="8" w:space="0" w:color="auto"/>
              <w:right w:val="single" w:sz="8" w:space="0" w:color="auto"/>
            </w:tcBorders>
            <w:shd w:val="clear" w:color="auto" w:fill="auto"/>
            <w:vAlign w:val="center"/>
            <w:hideMark/>
          </w:tcPr>
          <w:p w:rsidR="007B4DC1" w:rsidRPr="00091930" w:rsidRDefault="007B4DC1" w:rsidP="00BF22EF">
            <w:pPr>
              <w:tabs>
                <w:tab w:val="clear" w:pos="284"/>
              </w:tabs>
              <w:spacing w:line="240" w:lineRule="auto"/>
              <w:rPr>
                <w:rFonts w:ascii="Arial" w:eastAsia="Times New Roman" w:hAnsi="Arial" w:cs="Arial"/>
                <w:color w:val="000000"/>
                <w:kern w:val="0"/>
                <w:lang w:eastAsia="en-GB"/>
              </w:rPr>
            </w:pPr>
            <w:r w:rsidRPr="00091930">
              <w:rPr>
                <w:rFonts w:ascii="Arial" w:eastAsia="Times New Roman" w:hAnsi="Arial" w:cs="Arial"/>
                <w:color w:val="000000"/>
                <w:kern w:val="0"/>
                <w:lang w:eastAsia="en-GB"/>
              </w:rPr>
              <w:t>PRS, Social housing, shared equity, AMH</w:t>
            </w:r>
          </w:p>
        </w:tc>
        <w:tc>
          <w:tcPr>
            <w:tcW w:w="1953" w:type="dxa"/>
            <w:tcBorders>
              <w:top w:val="nil"/>
              <w:left w:val="nil"/>
              <w:bottom w:val="single" w:sz="8" w:space="0" w:color="auto"/>
              <w:right w:val="single" w:sz="8" w:space="0" w:color="auto"/>
            </w:tcBorders>
            <w:shd w:val="clear" w:color="auto" w:fill="auto"/>
            <w:vAlign w:val="center"/>
            <w:hideMark/>
          </w:tcPr>
          <w:p w:rsidR="007B4DC1" w:rsidRPr="0096004E" w:rsidRDefault="00B25544" w:rsidP="00BF22EF">
            <w:pPr>
              <w:tabs>
                <w:tab w:val="clear" w:pos="284"/>
              </w:tabs>
              <w:spacing w:line="240" w:lineRule="auto"/>
              <w:jc w:val="center"/>
              <w:rPr>
                <w:rFonts w:ascii="Arial" w:eastAsia="Times New Roman" w:hAnsi="Arial" w:cs="Arial"/>
                <w:color w:val="000000"/>
                <w:kern w:val="0"/>
                <w:sz w:val="96"/>
                <w:lang w:eastAsia="en-GB"/>
              </w:rPr>
            </w:pPr>
            <w:r>
              <w:rPr>
                <w:rFonts w:ascii="Arial" w:eastAsia="Times New Roman" w:hAnsi="Arial" w:cs="Arial"/>
                <w:color w:val="000000"/>
                <w:kern w:val="0"/>
                <w:sz w:val="96"/>
                <w:lang w:eastAsia="en-GB"/>
              </w:rPr>
              <w:t>↓</w:t>
            </w:r>
          </w:p>
        </w:tc>
        <w:tc>
          <w:tcPr>
            <w:tcW w:w="1309" w:type="dxa"/>
            <w:tcBorders>
              <w:top w:val="nil"/>
              <w:left w:val="nil"/>
              <w:bottom w:val="single" w:sz="8" w:space="0" w:color="auto"/>
              <w:right w:val="single" w:sz="8" w:space="0" w:color="auto"/>
            </w:tcBorders>
            <w:shd w:val="clear" w:color="auto" w:fill="auto"/>
            <w:vAlign w:val="center"/>
            <w:hideMark/>
          </w:tcPr>
          <w:p w:rsidR="007B4DC1" w:rsidRPr="00091930" w:rsidRDefault="007B4DC1" w:rsidP="00BF22EF">
            <w:pPr>
              <w:tabs>
                <w:tab w:val="clear" w:pos="284"/>
              </w:tabs>
              <w:spacing w:line="240" w:lineRule="auto"/>
              <w:rPr>
                <w:rFonts w:ascii="Arial" w:eastAsia="Times New Roman" w:hAnsi="Arial" w:cs="Arial"/>
                <w:color w:val="000000"/>
                <w:kern w:val="0"/>
                <w:lang w:eastAsia="en-GB"/>
              </w:rPr>
            </w:pPr>
            <w:r w:rsidRPr="00091930">
              <w:rPr>
                <w:rFonts w:ascii="Arial" w:eastAsia="Times New Roman" w:hAnsi="Arial" w:cs="Arial"/>
                <w:color w:val="000000"/>
                <w:kern w:val="0"/>
                <w:lang w:eastAsia="en-GB"/>
              </w:rPr>
              <w:t>5 rooms</w:t>
            </w:r>
          </w:p>
        </w:tc>
      </w:tr>
      <w:tr w:rsidR="007B4DC1" w:rsidRPr="00091930" w:rsidTr="00A258B5">
        <w:trPr>
          <w:trHeight w:val="1515"/>
        </w:trPr>
        <w:tc>
          <w:tcPr>
            <w:tcW w:w="2593" w:type="dxa"/>
            <w:tcBorders>
              <w:top w:val="nil"/>
              <w:left w:val="single" w:sz="8" w:space="0" w:color="auto"/>
              <w:bottom w:val="single" w:sz="8" w:space="0" w:color="auto"/>
              <w:right w:val="single" w:sz="8" w:space="0" w:color="auto"/>
            </w:tcBorders>
            <w:shd w:val="clear" w:color="auto" w:fill="auto"/>
            <w:vAlign w:val="center"/>
            <w:hideMark/>
          </w:tcPr>
          <w:p w:rsidR="007B4DC1" w:rsidRPr="00091930" w:rsidRDefault="007B4DC1" w:rsidP="00BF22EF">
            <w:pPr>
              <w:tabs>
                <w:tab w:val="clear" w:pos="284"/>
              </w:tabs>
              <w:spacing w:line="240" w:lineRule="auto"/>
              <w:rPr>
                <w:rFonts w:ascii="Arial" w:eastAsia="Times New Roman" w:hAnsi="Arial" w:cs="Arial"/>
                <w:color w:val="000000"/>
                <w:kern w:val="0"/>
                <w:lang w:eastAsia="en-GB"/>
              </w:rPr>
            </w:pPr>
            <w:r w:rsidRPr="00091930">
              <w:rPr>
                <w:rFonts w:ascii="Arial" w:eastAsia="Times New Roman" w:hAnsi="Arial" w:cs="Arial"/>
                <w:color w:val="000000"/>
                <w:kern w:val="0"/>
                <w:lang w:eastAsia="en-GB"/>
              </w:rPr>
              <w:t xml:space="preserve">Professional Head of Household Young family where parents are aged 24-44 with </w:t>
            </w:r>
            <w:r>
              <w:rPr>
                <w:rFonts w:ascii="Arial" w:eastAsia="Times New Roman" w:hAnsi="Arial" w:cs="Arial"/>
                <w:color w:val="000000"/>
                <w:kern w:val="0"/>
                <w:lang w:eastAsia="en-GB"/>
              </w:rPr>
              <w:t>1+</w:t>
            </w:r>
            <w:r w:rsidRPr="00091930">
              <w:rPr>
                <w:rFonts w:ascii="Arial" w:eastAsia="Times New Roman" w:hAnsi="Arial" w:cs="Arial"/>
                <w:color w:val="000000"/>
                <w:kern w:val="0"/>
                <w:lang w:eastAsia="en-GB"/>
              </w:rPr>
              <w:t xml:space="preserve"> children aged 0-15</w:t>
            </w:r>
          </w:p>
        </w:tc>
        <w:tc>
          <w:tcPr>
            <w:tcW w:w="1394" w:type="dxa"/>
            <w:tcBorders>
              <w:top w:val="nil"/>
              <w:left w:val="nil"/>
              <w:bottom w:val="single" w:sz="8" w:space="0" w:color="auto"/>
              <w:right w:val="single" w:sz="8" w:space="0" w:color="auto"/>
            </w:tcBorders>
            <w:shd w:val="clear" w:color="auto" w:fill="auto"/>
            <w:vAlign w:val="center"/>
            <w:hideMark/>
          </w:tcPr>
          <w:p w:rsidR="007B4DC1" w:rsidRPr="00091930" w:rsidRDefault="007B4DC1" w:rsidP="00BF22EF">
            <w:pPr>
              <w:tabs>
                <w:tab w:val="clear" w:pos="284"/>
              </w:tabs>
              <w:spacing w:line="240" w:lineRule="auto"/>
              <w:rPr>
                <w:rFonts w:ascii="Arial" w:eastAsia="Times New Roman" w:hAnsi="Arial" w:cs="Arial"/>
                <w:color w:val="000000"/>
                <w:kern w:val="0"/>
                <w:lang w:eastAsia="en-GB"/>
              </w:rPr>
            </w:pPr>
            <w:r w:rsidRPr="00091930">
              <w:rPr>
                <w:rFonts w:ascii="Arial" w:eastAsia="Times New Roman" w:hAnsi="Arial" w:cs="Arial"/>
                <w:color w:val="000000"/>
                <w:kern w:val="0"/>
                <w:lang w:eastAsia="en-GB"/>
              </w:rPr>
              <w:t>Mean</w:t>
            </w:r>
          </w:p>
        </w:tc>
        <w:tc>
          <w:tcPr>
            <w:tcW w:w="1831" w:type="dxa"/>
            <w:tcBorders>
              <w:top w:val="nil"/>
              <w:left w:val="nil"/>
              <w:bottom w:val="single" w:sz="8" w:space="0" w:color="auto"/>
              <w:right w:val="single" w:sz="8" w:space="0" w:color="auto"/>
            </w:tcBorders>
            <w:shd w:val="clear" w:color="auto" w:fill="auto"/>
            <w:vAlign w:val="center"/>
            <w:hideMark/>
          </w:tcPr>
          <w:p w:rsidR="007B4DC1" w:rsidRPr="00091930" w:rsidRDefault="007B4DC1" w:rsidP="00BF22EF">
            <w:pPr>
              <w:tabs>
                <w:tab w:val="clear" w:pos="284"/>
              </w:tabs>
              <w:spacing w:line="240" w:lineRule="auto"/>
              <w:rPr>
                <w:rFonts w:ascii="Arial" w:eastAsia="Times New Roman" w:hAnsi="Arial" w:cs="Arial"/>
                <w:color w:val="000000"/>
                <w:kern w:val="0"/>
                <w:lang w:eastAsia="en-GB"/>
              </w:rPr>
            </w:pPr>
            <w:r w:rsidRPr="00091930">
              <w:rPr>
                <w:rFonts w:ascii="Arial" w:eastAsia="Times New Roman" w:hAnsi="Arial" w:cs="Arial"/>
                <w:color w:val="000000"/>
                <w:kern w:val="0"/>
                <w:lang w:eastAsia="en-GB"/>
              </w:rPr>
              <w:t>AMH, Market Housing (MH)</w:t>
            </w:r>
          </w:p>
        </w:tc>
        <w:tc>
          <w:tcPr>
            <w:tcW w:w="1953" w:type="dxa"/>
            <w:tcBorders>
              <w:top w:val="nil"/>
              <w:left w:val="nil"/>
              <w:bottom w:val="single" w:sz="8" w:space="0" w:color="auto"/>
              <w:right w:val="single" w:sz="8" w:space="0" w:color="auto"/>
            </w:tcBorders>
            <w:shd w:val="clear" w:color="auto" w:fill="auto"/>
            <w:vAlign w:val="center"/>
            <w:hideMark/>
          </w:tcPr>
          <w:p w:rsidR="007B4DC1" w:rsidRPr="0096004E" w:rsidRDefault="00B25544" w:rsidP="00BF22EF">
            <w:pPr>
              <w:tabs>
                <w:tab w:val="clear" w:pos="284"/>
              </w:tabs>
              <w:spacing w:line="240" w:lineRule="auto"/>
              <w:jc w:val="center"/>
              <w:rPr>
                <w:rFonts w:ascii="Arial" w:eastAsia="Times New Roman" w:hAnsi="Arial" w:cs="Arial"/>
                <w:color w:val="000000"/>
                <w:kern w:val="0"/>
                <w:sz w:val="96"/>
                <w:lang w:eastAsia="en-GB"/>
              </w:rPr>
            </w:pPr>
            <w:r>
              <w:rPr>
                <w:rFonts w:ascii="Arial" w:eastAsia="Times New Roman" w:hAnsi="Arial" w:cs="Arial"/>
                <w:color w:val="000000"/>
                <w:kern w:val="0"/>
                <w:sz w:val="96"/>
                <w:lang w:eastAsia="en-GB"/>
              </w:rPr>
              <w:t>↓</w:t>
            </w:r>
          </w:p>
        </w:tc>
        <w:tc>
          <w:tcPr>
            <w:tcW w:w="1309" w:type="dxa"/>
            <w:tcBorders>
              <w:top w:val="nil"/>
              <w:left w:val="nil"/>
              <w:bottom w:val="single" w:sz="8" w:space="0" w:color="auto"/>
              <w:right w:val="single" w:sz="8" w:space="0" w:color="auto"/>
            </w:tcBorders>
            <w:shd w:val="clear" w:color="auto" w:fill="auto"/>
            <w:vAlign w:val="center"/>
            <w:hideMark/>
          </w:tcPr>
          <w:p w:rsidR="007B4DC1" w:rsidRPr="00091930" w:rsidRDefault="007B4DC1" w:rsidP="00BF22EF">
            <w:pPr>
              <w:tabs>
                <w:tab w:val="clear" w:pos="284"/>
              </w:tabs>
              <w:spacing w:line="240" w:lineRule="auto"/>
              <w:rPr>
                <w:rFonts w:ascii="Arial" w:eastAsia="Times New Roman" w:hAnsi="Arial" w:cs="Arial"/>
                <w:color w:val="000000"/>
                <w:kern w:val="0"/>
                <w:lang w:eastAsia="en-GB"/>
              </w:rPr>
            </w:pPr>
            <w:r w:rsidRPr="00091930">
              <w:rPr>
                <w:rFonts w:ascii="Arial" w:eastAsia="Times New Roman" w:hAnsi="Arial" w:cs="Arial"/>
                <w:color w:val="000000"/>
                <w:kern w:val="0"/>
                <w:lang w:eastAsia="en-GB"/>
              </w:rPr>
              <w:t>5 rooms</w:t>
            </w:r>
          </w:p>
        </w:tc>
      </w:tr>
      <w:tr w:rsidR="007B4DC1" w:rsidRPr="00091930" w:rsidTr="00A258B5">
        <w:trPr>
          <w:trHeight w:val="1515"/>
        </w:trPr>
        <w:tc>
          <w:tcPr>
            <w:tcW w:w="2593" w:type="dxa"/>
            <w:tcBorders>
              <w:top w:val="nil"/>
              <w:left w:val="single" w:sz="8" w:space="0" w:color="auto"/>
              <w:bottom w:val="single" w:sz="8" w:space="0" w:color="auto"/>
              <w:right w:val="single" w:sz="8" w:space="0" w:color="auto"/>
            </w:tcBorders>
            <w:shd w:val="clear" w:color="auto" w:fill="auto"/>
            <w:vAlign w:val="center"/>
            <w:hideMark/>
          </w:tcPr>
          <w:p w:rsidR="007B4DC1" w:rsidRPr="00091930" w:rsidRDefault="007B4DC1" w:rsidP="00BF22EF">
            <w:pPr>
              <w:tabs>
                <w:tab w:val="clear" w:pos="284"/>
              </w:tabs>
              <w:spacing w:line="240" w:lineRule="auto"/>
              <w:rPr>
                <w:rFonts w:ascii="Arial" w:eastAsia="Times New Roman" w:hAnsi="Arial" w:cs="Arial"/>
                <w:color w:val="000000"/>
                <w:kern w:val="0"/>
                <w:lang w:eastAsia="en-GB"/>
              </w:rPr>
            </w:pPr>
            <w:r w:rsidRPr="00091930">
              <w:rPr>
                <w:rFonts w:ascii="Arial" w:eastAsia="Times New Roman" w:hAnsi="Arial" w:cs="Arial"/>
                <w:color w:val="000000"/>
                <w:kern w:val="0"/>
                <w:lang w:eastAsia="en-GB"/>
              </w:rPr>
              <w:t>Professional Head of Household family where parent are aged 44-64 with non-dependent children living at home</w:t>
            </w:r>
          </w:p>
        </w:tc>
        <w:tc>
          <w:tcPr>
            <w:tcW w:w="1394" w:type="dxa"/>
            <w:tcBorders>
              <w:top w:val="nil"/>
              <w:left w:val="nil"/>
              <w:bottom w:val="single" w:sz="8" w:space="0" w:color="auto"/>
              <w:right w:val="single" w:sz="8" w:space="0" w:color="auto"/>
            </w:tcBorders>
            <w:shd w:val="clear" w:color="auto" w:fill="auto"/>
            <w:vAlign w:val="center"/>
            <w:hideMark/>
          </w:tcPr>
          <w:p w:rsidR="007B4DC1" w:rsidRPr="00091930" w:rsidRDefault="007B4DC1" w:rsidP="00BF22EF">
            <w:pPr>
              <w:tabs>
                <w:tab w:val="clear" w:pos="284"/>
              </w:tabs>
              <w:spacing w:line="240" w:lineRule="auto"/>
              <w:rPr>
                <w:rFonts w:ascii="Arial" w:eastAsia="Times New Roman" w:hAnsi="Arial" w:cs="Arial"/>
                <w:color w:val="000000"/>
                <w:kern w:val="0"/>
                <w:lang w:eastAsia="en-GB"/>
              </w:rPr>
            </w:pPr>
            <w:r w:rsidRPr="00091930">
              <w:rPr>
                <w:rFonts w:ascii="Arial" w:eastAsia="Times New Roman" w:hAnsi="Arial" w:cs="Arial"/>
                <w:color w:val="000000"/>
                <w:kern w:val="0"/>
                <w:lang w:eastAsia="en-GB"/>
              </w:rPr>
              <w:t>&gt;Mean (equity rich)</w:t>
            </w:r>
          </w:p>
        </w:tc>
        <w:tc>
          <w:tcPr>
            <w:tcW w:w="1831" w:type="dxa"/>
            <w:tcBorders>
              <w:top w:val="nil"/>
              <w:left w:val="nil"/>
              <w:bottom w:val="single" w:sz="8" w:space="0" w:color="auto"/>
              <w:right w:val="single" w:sz="8" w:space="0" w:color="auto"/>
            </w:tcBorders>
            <w:shd w:val="clear" w:color="auto" w:fill="auto"/>
            <w:vAlign w:val="center"/>
            <w:hideMark/>
          </w:tcPr>
          <w:p w:rsidR="007B4DC1" w:rsidRPr="00091930" w:rsidRDefault="007B4DC1" w:rsidP="00BF22EF">
            <w:pPr>
              <w:tabs>
                <w:tab w:val="clear" w:pos="284"/>
              </w:tabs>
              <w:spacing w:line="240" w:lineRule="auto"/>
              <w:rPr>
                <w:rFonts w:ascii="Arial" w:eastAsia="Times New Roman" w:hAnsi="Arial" w:cs="Arial"/>
                <w:color w:val="000000"/>
                <w:kern w:val="0"/>
                <w:lang w:eastAsia="en-GB"/>
              </w:rPr>
            </w:pPr>
            <w:r w:rsidRPr="00091930">
              <w:rPr>
                <w:rFonts w:ascii="Arial" w:eastAsia="Times New Roman" w:hAnsi="Arial" w:cs="Arial"/>
                <w:color w:val="000000"/>
                <w:kern w:val="0"/>
                <w:lang w:eastAsia="en-GB"/>
              </w:rPr>
              <w:t xml:space="preserve">Market Housing </w:t>
            </w:r>
          </w:p>
        </w:tc>
        <w:tc>
          <w:tcPr>
            <w:tcW w:w="1953" w:type="dxa"/>
            <w:tcBorders>
              <w:top w:val="nil"/>
              <w:left w:val="nil"/>
              <w:bottom w:val="single" w:sz="8" w:space="0" w:color="auto"/>
              <w:right w:val="single" w:sz="8" w:space="0" w:color="auto"/>
            </w:tcBorders>
            <w:shd w:val="clear" w:color="auto" w:fill="auto"/>
            <w:vAlign w:val="center"/>
            <w:hideMark/>
          </w:tcPr>
          <w:p w:rsidR="007B4DC1" w:rsidRPr="0096004E" w:rsidRDefault="00B25544" w:rsidP="00BF22EF">
            <w:pPr>
              <w:tabs>
                <w:tab w:val="clear" w:pos="284"/>
              </w:tabs>
              <w:spacing w:line="240" w:lineRule="auto"/>
              <w:jc w:val="center"/>
              <w:rPr>
                <w:rFonts w:ascii="Arial" w:eastAsia="Times New Roman" w:hAnsi="Arial" w:cs="Arial"/>
                <w:color w:val="000000"/>
                <w:kern w:val="0"/>
                <w:sz w:val="96"/>
                <w:lang w:eastAsia="en-GB"/>
              </w:rPr>
            </w:pPr>
            <w:r>
              <w:rPr>
                <w:rFonts w:ascii="Arial" w:eastAsia="Times New Roman" w:hAnsi="Arial" w:cs="Arial"/>
                <w:color w:val="000000"/>
                <w:kern w:val="0"/>
                <w:sz w:val="96"/>
                <w:lang w:eastAsia="en-GB"/>
              </w:rPr>
              <w:t>↓</w:t>
            </w:r>
          </w:p>
        </w:tc>
        <w:tc>
          <w:tcPr>
            <w:tcW w:w="1309" w:type="dxa"/>
            <w:tcBorders>
              <w:top w:val="nil"/>
              <w:left w:val="nil"/>
              <w:bottom w:val="single" w:sz="8" w:space="0" w:color="auto"/>
              <w:right w:val="single" w:sz="8" w:space="0" w:color="auto"/>
            </w:tcBorders>
            <w:shd w:val="clear" w:color="auto" w:fill="auto"/>
            <w:vAlign w:val="center"/>
            <w:hideMark/>
          </w:tcPr>
          <w:p w:rsidR="007B4DC1" w:rsidRPr="00091930" w:rsidRDefault="007B4DC1" w:rsidP="00BF22EF">
            <w:pPr>
              <w:tabs>
                <w:tab w:val="clear" w:pos="284"/>
              </w:tabs>
              <w:spacing w:line="240" w:lineRule="auto"/>
              <w:rPr>
                <w:rFonts w:ascii="Arial" w:eastAsia="Times New Roman" w:hAnsi="Arial" w:cs="Arial"/>
                <w:color w:val="000000"/>
                <w:kern w:val="0"/>
                <w:lang w:eastAsia="en-GB"/>
              </w:rPr>
            </w:pPr>
            <w:r w:rsidRPr="00091930">
              <w:rPr>
                <w:rFonts w:ascii="Arial" w:eastAsia="Times New Roman" w:hAnsi="Arial" w:cs="Arial"/>
                <w:color w:val="000000"/>
                <w:kern w:val="0"/>
                <w:lang w:eastAsia="en-GB"/>
              </w:rPr>
              <w:t>6+ rooms</w:t>
            </w:r>
          </w:p>
        </w:tc>
      </w:tr>
      <w:tr w:rsidR="007B4DC1" w:rsidRPr="00091930" w:rsidTr="00A258B5">
        <w:trPr>
          <w:trHeight w:val="1230"/>
        </w:trPr>
        <w:tc>
          <w:tcPr>
            <w:tcW w:w="2593" w:type="dxa"/>
            <w:tcBorders>
              <w:top w:val="nil"/>
              <w:left w:val="single" w:sz="8" w:space="0" w:color="auto"/>
              <w:bottom w:val="single" w:sz="8" w:space="0" w:color="auto"/>
              <w:right w:val="single" w:sz="8" w:space="0" w:color="auto"/>
            </w:tcBorders>
            <w:shd w:val="clear" w:color="auto" w:fill="auto"/>
            <w:vAlign w:val="center"/>
            <w:hideMark/>
          </w:tcPr>
          <w:p w:rsidR="007B4DC1" w:rsidRPr="00091930" w:rsidRDefault="007B4DC1" w:rsidP="00BF22EF">
            <w:pPr>
              <w:tabs>
                <w:tab w:val="clear" w:pos="284"/>
              </w:tabs>
              <w:spacing w:line="240" w:lineRule="auto"/>
              <w:rPr>
                <w:rFonts w:ascii="Arial" w:eastAsia="Times New Roman" w:hAnsi="Arial" w:cs="Arial"/>
                <w:color w:val="000000"/>
                <w:kern w:val="0"/>
                <w:lang w:eastAsia="en-GB"/>
              </w:rPr>
            </w:pPr>
            <w:r w:rsidRPr="00091930">
              <w:rPr>
                <w:rFonts w:ascii="Arial" w:eastAsia="Times New Roman" w:hAnsi="Arial" w:cs="Arial"/>
                <w:color w:val="000000"/>
                <w:kern w:val="0"/>
                <w:lang w:eastAsia="en-GB"/>
              </w:rPr>
              <w:t xml:space="preserve">Lone parent </w:t>
            </w:r>
            <w:r>
              <w:rPr>
                <w:rFonts w:ascii="Arial" w:eastAsia="Times New Roman" w:hAnsi="Arial" w:cs="Arial"/>
                <w:color w:val="000000"/>
                <w:kern w:val="0"/>
                <w:lang w:eastAsia="en-GB"/>
              </w:rPr>
              <w:t>(with 1+ children)</w:t>
            </w:r>
          </w:p>
        </w:tc>
        <w:tc>
          <w:tcPr>
            <w:tcW w:w="1394" w:type="dxa"/>
            <w:tcBorders>
              <w:top w:val="nil"/>
              <w:left w:val="nil"/>
              <w:bottom w:val="single" w:sz="8" w:space="0" w:color="auto"/>
              <w:right w:val="single" w:sz="8" w:space="0" w:color="auto"/>
            </w:tcBorders>
            <w:shd w:val="clear" w:color="auto" w:fill="auto"/>
            <w:vAlign w:val="center"/>
            <w:hideMark/>
          </w:tcPr>
          <w:p w:rsidR="007B4DC1" w:rsidRPr="00091930" w:rsidRDefault="007B4DC1" w:rsidP="00BF22EF">
            <w:pPr>
              <w:tabs>
                <w:tab w:val="clear" w:pos="284"/>
              </w:tabs>
              <w:spacing w:line="240" w:lineRule="auto"/>
              <w:rPr>
                <w:rFonts w:ascii="Arial" w:eastAsia="Times New Roman" w:hAnsi="Arial" w:cs="Arial"/>
                <w:color w:val="000000"/>
                <w:kern w:val="0"/>
                <w:lang w:eastAsia="en-GB"/>
              </w:rPr>
            </w:pPr>
            <w:r w:rsidRPr="00091930">
              <w:rPr>
                <w:rFonts w:ascii="Arial" w:eastAsia="Times New Roman" w:hAnsi="Arial" w:cs="Arial"/>
                <w:color w:val="000000"/>
                <w:kern w:val="0"/>
                <w:lang w:eastAsia="en-GB"/>
              </w:rPr>
              <w:t>Lower Quartile (equity poor)</w:t>
            </w:r>
          </w:p>
        </w:tc>
        <w:tc>
          <w:tcPr>
            <w:tcW w:w="1831" w:type="dxa"/>
            <w:tcBorders>
              <w:top w:val="nil"/>
              <w:left w:val="nil"/>
              <w:bottom w:val="single" w:sz="8" w:space="0" w:color="auto"/>
              <w:right w:val="single" w:sz="8" w:space="0" w:color="auto"/>
            </w:tcBorders>
            <w:shd w:val="clear" w:color="auto" w:fill="auto"/>
            <w:vAlign w:val="center"/>
            <w:hideMark/>
          </w:tcPr>
          <w:p w:rsidR="007B4DC1" w:rsidRPr="00091930" w:rsidRDefault="007B4DC1" w:rsidP="00BF22EF">
            <w:pPr>
              <w:tabs>
                <w:tab w:val="clear" w:pos="284"/>
              </w:tabs>
              <w:spacing w:line="240" w:lineRule="auto"/>
              <w:rPr>
                <w:rFonts w:ascii="Arial" w:eastAsia="Times New Roman" w:hAnsi="Arial" w:cs="Arial"/>
                <w:color w:val="000000"/>
                <w:kern w:val="0"/>
                <w:lang w:eastAsia="en-GB"/>
              </w:rPr>
            </w:pPr>
            <w:r w:rsidRPr="00091930">
              <w:rPr>
                <w:rFonts w:ascii="Arial" w:eastAsia="Times New Roman" w:hAnsi="Arial" w:cs="Arial"/>
                <w:color w:val="000000"/>
                <w:kern w:val="0"/>
                <w:lang w:eastAsia="en-GB"/>
              </w:rPr>
              <w:t>Social Housing</w:t>
            </w:r>
          </w:p>
        </w:tc>
        <w:tc>
          <w:tcPr>
            <w:tcW w:w="1953" w:type="dxa"/>
            <w:tcBorders>
              <w:top w:val="nil"/>
              <w:left w:val="nil"/>
              <w:bottom w:val="single" w:sz="8" w:space="0" w:color="auto"/>
              <w:right w:val="single" w:sz="8" w:space="0" w:color="auto"/>
            </w:tcBorders>
            <w:shd w:val="clear" w:color="auto" w:fill="auto"/>
            <w:vAlign w:val="center"/>
            <w:hideMark/>
          </w:tcPr>
          <w:p w:rsidR="007B4DC1" w:rsidRPr="0096004E" w:rsidRDefault="007B4DC1" w:rsidP="00BF22EF">
            <w:pPr>
              <w:tabs>
                <w:tab w:val="clear" w:pos="284"/>
              </w:tabs>
              <w:spacing w:line="240" w:lineRule="auto"/>
              <w:jc w:val="center"/>
              <w:rPr>
                <w:rFonts w:ascii="Arial" w:eastAsia="Times New Roman" w:hAnsi="Arial" w:cs="Arial"/>
                <w:color w:val="000000"/>
                <w:kern w:val="0"/>
                <w:sz w:val="96"/>
                <w:lang w:eastAsia="en-GB"/>
              </w:rPr>
            </w:pPr>
            <w:r w:rsidRPr="0096004E">
              <w:rPr>
                <w:rFonts w:ascii="Arial" w:eastAsia="Times New Roman" w:hAnsi="Arial" w:cs="Arial"/>
                <w:color w:val="000000"/>
                <w:kern w:val="0"/>
                <w:sz w:val="96"/>
                <w:lang w:eastAsia="en-GB"/>
              </w:rPr>
              <w:sym w:font="Symbol" w:char="F0AB"/>
            </w:r>
          </w:p>
        </w:tc>
        <w:tc>
          <w:tcPr>
            <w:tcW w:w="1309" w:type="dxa"/>
            <w:tcBorders>
              <w:top w:val="nil"/>
              <w:left w:val="nil"/>
              <w:bottom w:val="single" w:sz="8" w:space="0" w:color="auto"/>
              <w:right w:val="single" w:sz="8" w:space="0" w:color="auto"/>
            </w:tcBorders>
            <w:shd w:val="clear" w:color="auto" w:fill="auto"/>
            <w:vAlign w:val="center"/>
            <w:hideMark/>
          </w:tcPr>
          <w:p w:rsidR="007B4DC1" w:rsidRPr="00091930" w:rsidRDefault="007B4DC1" w:rsidP="00BF22EF">
            <w:pPr>
              <w:tabs>
                <w:tab w:val="clear" w:pos="284"/>
              </w:tabs>
              <w:spacing w:line="240" w:lineRule="auto"/>
              <w:rPr>
                <w:rFonts w:ascii="Arial" w:eastAsia="Times New Roman" w:hAnsi="Arial" w:cs="Arial"/>
                <w:color w:val="000000"/>
                <w:kern w:val="0"/>
                <w:lang w:eastAsia="en-GB"/>
              </w:rPr>
            </w:pPr>
            <w:r w:rsidRPr="00091930">
              <w:rPr>
                <w:rFonts w:ascii="Arial" w:eastAsia="Times New Roman" w:hAnsi="Arial" w:cs="Arial"/>
                <w:color w:val="000000"/>
                <w:kern w:val="0"/>
                <w:lang w:eastAsia="en-GB"/>
              </w:rPr>
              <w:t>3 rooms</w:t>
            </w:r>
          </w:p>
        </w:tc>
      </w:tr>
      <w:tr w:rsidR="007B4DC1" w:rsidRPr="00091930" w:rsidTr="00A258B5">
        <w:trPr>
          <w:trHeight w:val="1215"/>
        </w:trPr>
        <w:tc>
          <w:tcPr>
            <w:tcW w:w="2593" w:type="dxa"/>
            <w:tcBorders>
              <w:top w:val="nil"/>
              <w:left w:val="single" w:sz="8" w:space="0" w:color="auto"/>
              <w:bottom w:val="single" w:sz="8" w:space="0" w:color="auto"/>
              <w:right w:val="single" w:sz="8" w:space="0" w:color="auto"/>
            </w:tcBorders>
            <w:shd w:val="clear" w:color="auto" w:fill="auto"/>
            <w:vAlign w:val="center"/>
            <w:hideMark/>
          </w:tcPr>
          <w:p w:rsidR="007B4DC1" w:rsidRPr="00091930" w:rsidRDefault="007B4DC1" w:rsidP="00BF22EF">
            <w:pPr>
              <w:tabs>
                <w:tab w:val="clear" w:pos="284"/>
              </w:tabs>
              <w:spacing w:line="240" w:lineRule="auto"/>
              <w:rPr>
                <w:rFonts w:ascii="Arial" w:eastAsia="Times New Roman" w:hAnsi="Arial" w:cs="Arial"/>
                <w:color w:val="000000"/>
                <w:kern w:val="0"/>
                <w:lang w:eastAsia="en-GB"/>
              </w:rPr>
            </w:pPr>
            <w:r>
              <w:rPr>
                <w:rFonts w:ascii="Arial" w:eastAsia="Times New Roman" w:hAnsi="Arial" w:cs="Arial"/>
                <w:color w:val="000000"/>
                <w:kern w:val="0"/>
                <w:lang w:eastAsia="en-GB"/>
              </w:rPr>
              <w:t>One person household</w:t>
            </w:r>
            <w:r w:rsidRPr="00091930">
              <w:rPr>
                <w:rFonts w:ascii="Arial" w:eastAsia="Times New Roman" w:hAnsi="Arial" w:cs="Arial"/>
                <w:color w:val="000000"/>
                <w:kern w:val="0"/>
                <w:lang w:eastAsia="en-GB"/>
              </w:rPr>
              <w:t xml:space="preserve"> aged under 65</w:t>
            </w:r>
          </w:p>
        </w:tc>
        <w:tc>
          <w:tcPr>
            <w:tcW w:w="1394" w:type="dxa"/>
            <w:tcBorders>
              <w:top w:val="nil"/>
              <w:left w:val="nil"/>
              <w:bottom w:val="single" w:sz="8" w:space="0" w:color="auto"/>
              <w:right w:val="single" w:sz="8" w:space="0" w:color="auto"/>
            </w:tcBorders>
            <w:shd w:val="clear" w:color="auto" w:fill="auto"/>
            <w:vAlign w:val="center"/>
            <w:hideMark/>
          </w:tcPr>
          <w:p w:rsidR="007B4DC1" w:rsidRPr="00091930" w:rsidRDefault="007B4DC1" w:rsidP="00BF22EF">
            <w:pPr>
              <w:tabs>
                <w:tab w:val="clear" w:pos="284"/>
              </w:tabs>
              <w:spacing w:line="240" w:lineRule="auto"/>
              <w:rPr>
                <w:rFonts w:ascii="Arial" w:eastAsia="Times New Roman" w:hAnsi="Arial" w:cs="Arial"/>
                <w:color w:val="000000"/>
                <w:kern w:val="0"/>
                <w:lang w:eastAsia="en-GB"/>
              </w:rPr>
            </w:pPr>
            <w:r w:rsidRPr="00091930">
              <w:rPr>
                <w:rFonts w:ascii="Arial" w:eastAsia="Times New Roman" w:hAnsi="Arial" w:cs="Arial"/>
                <w:color w:val="000000"/>
                <w:kern w:val="0"/>
                <w:lang w:eastAsia="en-GB"/>
              </w:rPr>
              <w:t>Median (equity poor)</w:t>
            </w:r>
          </w:p>
        </w:tc>
        <w:tc>
          <w:tcPr>
            <w:tcW w:w="1831" w:type="dxa"/>
            <w:tcBorders>
              <w:top w:val="nil"/>
              <w:left w:val="nil"/>
              <w:bottom w:val="single" w:sz="8" w:space="0" w:color="auto"/>
              <w:right w:val="single" w:sz="8" w:space="0" w:color="auto"/>
            </w:tcBorders>
            <w:shd w:val="clear" w:color="auto" w:fill="auto"/>
            <w:vAlign w:val="center"/>
            <w:hideMark/>
          </w:tcPr>
          <w:p w:rsidR="007B4DC1" w:rsidRPr="00091930" w:rsidRDefault="007B4DC1" w:rsidP="00BF22EF">
            <w:pPr>
              <w:tabs>
                <w:tab w:val="clear" w:pos="284"/>
              </w:tabs>
              <w:spacing w:line="240" w:lineRule="auto"/>
              <w:rPr>
                <w:rFonts w:ascii="Arial" w:eastAsia="Times New Roman" w:hAnsi="Arial" w:cs="Arial"/>
                <w:color w:val="000000"/>
                <w:kern w:val="0"/>
                <w:lang w:eastAsia="en-GB"/>
              </w:rPr>
            </w:pPr>
            <w:r w:rsidRPr="00091930">
              <w:rPr>
                <w:rFonts w:ascii="Arial" w:eastAsia="Times New Roman" w:hAnsi="Arial" w:cs="Arial"/>
                <w:color w:val="000000"/>
                <w:kern w:val="0"/>
                <w:lang w:eastAsia="en-GB"/>
              </w:rPr>
              <w:t>PRS, shared equity, DMH</w:t>
            </w:r>
          </w:p>
        </w:tc>
        <w:tc>
          <w:tcPr>
            <w:tcW w:w="1953" w:type="dxa"/>
            <w:tcBorders>
              <w:top w:val="nil"/>
              <w:left w:val="nil"/>
              <w:bottom w:val="single" w:sz="8" w:space="0" w:color="auto"/>
              <w:right w:val="single" w:sz="8" w:space="0" w:color="auto"/>
            </w:tcBorders>
            <w:shd w:val="clear" w:color="auto" w:fill="auto"/>
            <w:vAlign w:val="center"/>
            <w:hideMark/>
          </w:tcPr>
          <w:p w:rsidR="007B4DC1" w:rsidRPr="0096004E" w:rsidRDefault="007B4DC1" w:rsidP="00BF22EF">
            <w:pPr>
              <w:tabs>
                <w:tab w:val="clear" w:pos="284"/>
              </w:tabs>
              <w:spacing w:line="240" w:lineRule="auto"/>
              <w:jc w:val="center"/>
              <w:rPr>
                <w:rFonts w:ascii="Arial" w:eastAsia="Times New Roman" w:hAnsi="Arial" w:cs="Arial"/>
                <w:color w:val="000000"/>
                <w:kern w:val="0"/>
                <w:sz w:val="96"/>
                <w:lang w:eastAsia="en-GB"/>
              </w:rPr>
            </w:pPr>
            <w:r w:rsidRPr="0096004E">
              <w:rPr>
                <w:rFonts w:ascii="Arial" w:eastAsia="Times New Roman" w:hAnsi="Arial" w:cs="Arial"/>
                <w:color w:val="000000"/>
                <w:kern w:val="0"/>
                <w:sz w:val="96"/>
                <w:lang w:eastAsia="en-GB"/>
              </w:rPr>
              <w:sym w:font="Symbol" w:char="F0AD"/>
            </w:r>
          </w:p>
        </w:tc>
        <w:tc>
          <w:tcPr>
            <w:tcW w:w="1309" w:type="dxa"/>
            <w:tcBorders>
              <w:top w:val="nil"/>
              <w:left w:val="nil"/>
              <w:bottom w:val="single" w:sz="8" w:space="0" w:color="auto"/>
              <w:right w:val="single" w:sz="8" w:space="0" w:color="auto"/>
            </w:tcBorders>
            <w:shd w:val="clear" w:color="auto" w:fill="auto"/>
            <w:vAlign w:val="center"/>
            <w:hideMark/>
          </w:tcPr>
          <w:p w:rsidR="007B4DC1" w:rsidRPr="00091930" w:rsidRDefault="007B4DC1" w:rsidP="00BF22EF">
            <w:pPr>
              <w:tabs>
                <w:tab w:val="clear" w:pos="284"/>
              </w:tabs>
              <w:spacing w:line="240" w:lineRule="auto"/>
              <w:rPr>
                <w:rFonts w:ascii="Arial" w:eastAsia="Times New Roman" w:hAnsi="Arial" w:cs="Arial"/>
                <w:color w:val="000000"/>
                <w:kern w:val="0"/>
                <w:lang w:eastAsia="en-GB"/>
              </w:rPr>
            </w:pPr>
            <w:r w:rsidRPr="00091930">
              <w:rPr>
                <w:rFonts w:ascii="Arial" w:eastAsia="Times New Roman" w:hAnsi="Arial" w:cs="Arial"/>
                <w:color w:val="000000"/>
                <w:kern w:val="0"/>
                <w:lang w:eastAsia="en-GB"/>
              </w:rPr>
              <w:t>2 rooms</w:t>
            </w:r>
          </w:p>
        </w:tc>
      </w:tr>
      <w:tr w:rsidR="007B4DC1" w:rsidRPr="00091930" w:rsidTr="00A258B5">
        <w:trPr>
          <w:trHeight w:val="1275"/>
        </w:trPr>
        <w:tc>
          <w:tcPr>
            <w:tcW w:w="2593" w:type="dxa"/>
            <w:tcBorders>
              <w:top w:val="nil"/>
              <w:left w:val="single" w:sz="8" w:space="0" w:color="auto"/>
              <w:bottom w:val="single" w:sz="8" w:space="0" w:color="auto"/>
              <w:right w:val="single" w:sz="8" w:space="0" w:color="auto"/>
            </w:tcBorders>
            <w:shd w:val="clear" w:color="auto" w:fill="auto"/>
            <w:vAlign w:val="center"/>
            <w:hideMark/>
          </w:tcPr>
          <w:p w:rsidR="007B4DC1" w:rsidRPr="00091930" w:rsidRDefault="007B4DC1" w:rsidP="00BF22EF">
            <w:pPr>
              <w:tabs>
                <w:tab w:val="clear" w:pos="284"/>
              </w:tabs>
              <w:spacing w:line="240" w:lineRule="auto"/>
              <w:rPr>
                <w:rFonts w:ascii="Arial" w:eastAsia="Times New Roman" w:hAnsi="Arial" w:cs="Arial"/>
                <w:color w:val="000000"/>
                <w:kern w:val="0"/>
                <w:lang w:eastAsia="en-GB"/>
              </w:rPr>
            </w:pPr>
            <w:r>
              <w:rPr>
                <w:rFonts w:ascii="Arial" w:eastAsia="Times New Roman" w:hAnsi="Arial" w:cs="Arial"/>
                <w:color w:val="000000"/>
                <w:kern w:val="0"/>
                <w:lang w:eastAsia="en-GB"/>
              </w:rPr>
              <w:t>One person household</w:t>
            </w:r>
            <w:r w:rsidRPr="00091930">
              <w:rPr>
                <w:rFonts w:ascii="Arial" w:eastAsia="Times New Roman" w:hAnsi="Arial" w:cs="Arial"/>
                <w:color w:val="000000"/>
                <w:kern w:val="0"/>
                <w:lang w:eastAsia="en-GB"/>
              </w:rPr>
              <w:t xml:space="preserve"> aged </w:t>
            </w:r>
            <w:r>
              <w:rPr>
                <w:rFonts w:ascii="Arial" w:eastAsia="Times New Roman" w:hAnsi="Arial" w:cs="Arial"/>
                <w:color w:val="000000"/>
                <w:kern w:val="0"/>
                <w:lang w:eastAsia="en-GB"/>
              </w:rPr>
              <w:t xml:space="preserve">65+ </w:t>
            </w:r>
            <w:r w:rsidRPr="00091930">
              <w:rPr>
                <w:rFonts w:ascii="Arial" w:eastAsia="Times New Roman" w:hAnsi="Arial" w:cs="Arial"/>
                <w:color w:val="000000"/>
                <w:kern w:val="0"/>
                <w:lang w:eastAsia="en-GB"/>
              </w:rPr>
              <w:t>with wealth</w:t>
            </w:r>
          </w:p>
        </w:tc>
        <w:tc>
          <w:tcPr>
            <w:tcW w:w="1394" w:type="dxa"/>
            <w:tcBorders>
              <w:top w:val="nil"/>
              <w:left w:val="nil"/>
              <w:bottom w:val="single" w:sz="8" w:space="0" w:color="auto"/>
              <w:right w:val="single" w:sz="8" w:space="0" w:color="auto"/>
            </w:tcBorders>
            <w:shd w:val="clear" w:color="auto" w:fill="auto"/>
            <w:vAlign w:val="center"/>
            <w:hideMark/>
          </w:tcPr>
          <w:p w:rsidR="007B4DC1" w:rsidRPr="00091930" w:rsidRDefault="007B4DC1" w:rsidP="00BF22EF">
            <w:pPr>
              <w:tabs>
                <w:tab w:val="clear" w:pos="284"/>
              </w:tabs>
              <w:spacing w:line="240" w:lineRule="auto"/>
              <w:rPr>
                <w:rFonts w:ascii="Arial" w:eastAsia="Times New Roman" w:hAnsi="Arial" w:cs="Arial"/>
                <w:color w:val="000000"/>
                <w:kern w:val="0"/>
                <w:lang w:eastAsia="en-GB"/>
              </w:rPr>
            </w:pPr>
            <w:r w:rsidRPr="00091930">
              <w:rPr>
                <w:rFonts w:ascii="Arial" w:eastAsia="Times New Roman" w:hAnsi="Arial" w:cs="Arial"/>
                <w:color w:val="000000"/>
                <w:kern w:val="0"/>
                <w:lang w:eastAsia="en-GB"/>
              </w:rPr>
              <w:t>Median (equity rich)</w:t>
            </w:r>
          </w:p>
        </w:tc>
        <w:tc>
          <w:tcPr>
            <w:tcW w:w="1831" w:type="dxa"/>
            <w:tcBorders>
              <w:top w:val="nil"/>
              <w:left w:val="nil"/>
              <w:bottom w:val="single" w:sz="8" w:space="0" w:color="auto"/>
              <w:right w:val="single" w:sz="8" w:space="0" w:color="auto"/>
            </w:tcBorders>
            <w:shd w:val="clear" w:color="auto" w:fill="auto"/>
            <w:vAlign w:val="center"/>
            <w:hideMark/>
          </w:tcPr>
          <w:p w:rsidR="007B4DC1" w:rsidRPr="00091930" w:rsidRDefault="007B4DC1" w:rsidP="00BF22EF">
            <w:pPr>
              <w:tabs>
                <w:tab w:val="clear" w:pos="284"/>
              </w:tabs>
              <w:spacing w:line="240" w:lineRule="auto"/>
              <w:rPr>
                <w:rFonts w:ascii="Arial" w:eastAsia="Times New Roman" w:hAnsi="Arial" w:cs="Arial"/>
                <w:color w:val="000000"/>
                <w:kern w:val="0"/>
                <w:lang w:eastAsia="en-GB"/>
              </w:rPr>
            </w:pPr>
            <w:r w:rsidRPr="00091930">
              <w:rPr>
                <w:rFonts w:ascii="Arial" w:eastAsia="Times New Roman" w:hAnsi="Arial" w:cs="Arial"/>
                <w:color w:val="000000"/>
                <w:kern w:val="0"/>
                <w:lang w:eastAsia="en-GB"/>
              </w:rPr>
              <w:t xml:space="preserve">Market Housing </w:t>
            </w:r>
          </w:p>
        </w:tc>
        <w:tc>
          <w:tcPr>
            <w:tcW w:w="1953" w:type="dxa"/>
            <w:tcBorders>
              <w:top w:val="nil"/>
              <w:left w:val="nil"/>
              <w:bottom w:val="single" w:sz="8" w:space="0" w:color="auto"/>
              <w:right w:val="single" w:sz="8" w:space="0" w:color="auto"/>
            </w:tcBorders>
            <w:shd w:val="clear" w:color="auto" w:fill="auto"/>
            <w:vAlign w:val="center"/>
            <w:hideMark/>
          </w:tcPr>
          <w:p w:rsidR="007B4DC1" w:rsidRPr="0096004E" w:rsidRDefault="007B4DC1" w:rsidP="00BF22EF">
            <w:pPr>
              <w:tabs>
                <w:tab w:val="clear" w:pos="284"/>
              </w:tabs>
              <w:spacing w:line="240" w:lineRule="auto"/>
              <w:jc w:val="center"/>
              <w:rPr>
                <w:rFonts w:ascii="Arial" w:eastAsia="Times New Roman" w:hAnsi="Arial" w:cs="Arial"/>
                <w:color w:val="000000"/>
                <w:kern w:val="0"/>
                <w:sz w:val="96"/>
                <w:lang w:eastAsia="en-GB"/>
              </w:rPr>
            </w:pPr>
            <w:r w:rsidRPr="0096004E">
              <w:rPr>
                <w:rFonts w:ascii="Arial" w:eastAsia="Times New Roman" w:hAnsi="Arial" w:cs="Arial"/>
                <w:color w:val="000000"/>
                <w:kern w:val="0"/>
                <w:sz w:val="96"/>
                <w:lang w:eastAsia="en-GB"/>
              </w:rPr>
              <w:sym w:font="Symbol" w:char="F0AD"/>
            </w:r>
            <w:r w:rsidRPr="0096004E">
              <w:rPr>
                <w:rFonts w:ascii="Arial" w:eastAsia="Times New Roman" w:hAnsi="Arial" w:cs="Arial"/>
                <w:color w:val="000000"/>
                <w:kern w:val="0"/>
                <w:sz w:val="96"/>
                <w:lang w:eastAsia="en-GB"/>
              </w:rPr>
              <w:sym w:font="Symbol" w:char="F0AD"/>
            </w:r>
            <w:r w:rsidRPr="0096004E">
              <w:rPr>
                <w:rFonts w:ascii="Arial" w:eastAsia="Times New Roman" w:hAnsi="Arial" w:cs="Arial"/>
                <w:color w:val="000000"/>
                <w:kern w:val="0"/>
                <w:sz w:val="96"/>
                <w:lang w:eastAsia="en-GB"/>
              </w:rPr>
              <w:sym w:font="Symbol" w:char="F0AD"/>
            </w:r>
          </w:p>
        </w:tc>
        <w:tc>
          <w:tcPr>
            <w:tcW w:w="1309" w:type="dxa"/>
            <w:tcBorders>
              <w:top w:val="nil"/>
              <w:left w:val="nil"/>
              <w:bottom w:val="single" w:sz="8" w:space="0" w:color="auto"/>
              <w:right w:val="single" w:sz="8" w:space="0" w:color="auto"/>
            </w:tcBorders>
            <w:shd w:val="clear" w:color="auto" w:fill="auto"/>
            <w:vAlign w:val="center"/>
            <w:hideMark/>
          </w:tcPr>
          <w:p w:rsidR="007B4DC1" w:rsidRPr="00091930" w:rsidRDefault="007B4DC1" w:rsidP="00BF22EF">
            <w:pPr>
              <w:tabs>
                <w:tab w:val="clear" w:pos="284"/>
              </w:tabs>
              <w:spacing w:line="240" w:lineRule="auto"/>
              <w:rPr>
                <w:rFonts w:ascii="Arial" w:eastAsia="Times New Roman" w:hAnsi="Arial" w:cs="Arial"/>
                <w:color w:val="000000"/>
                <w:kern w:val="0"/>
                <w:lang w:eastAsia="en-GB"/>
              </w:rPr>
            </w:pPr>
            <w:r w:rsidRPr="00091930">
              <w:rPr>
                <w:rFonts w:ascii="Arial" w:eastAsia="Times New Roman" w:hAnsi="Arial" w:cs="Arial"/>
                <w:color w:val="000000"/>
                <w:kern w:val="0"/>
                <w:lang w:eastAsia="en-GB"/>
              </w:rPr>
              <w:t>2-3 rooms</w:t>
            </w:r>
          </w:p>
        </w:tc>
      </w:tr>
      <w:tr w:rsidR="007B4DC1" w:rsidRPr="00091930" w:rsidTr="00A258B5">
        <w:trPr>
          <w:trHeight w:val="1290"/>
        </w:trPr>
        <w:tc>
          <w:tcPr>
            <w:tcW w:w="2593" w:type="dxa"/>
            <w:tcBorders>
              <w:top w:val="nil"/>
              <w:left w:val="single" w:sz="8" w:space="0" w:color="auto"/>
              <w:bottom w:val="single" w:sz="8" w:space="0" w:color="auto"/>
              <w:right w:val="single" w:sz="8" w:space="0" w:color="auto"/>
            </w:tcBorders>
            <w:shd w:val="clear" w:color="auto" w:fill="auto"/>
            <w:vAlign w:val="center"/>
            <w:hideMark/>
          </w:tcPr>
          <w:p w:rsidR="007B4DC1" w:rsidRPr="00091930" w:rsidRDefault="007B4DC1" w:rsidP="00BF22EF">
            <w:pPr>
              <w:tabs>
                <w:tab w:val="clear" w:pos="284"/>
              </w:tabs>
              <w:spacing w:line="240" w:lineRule="auto"/>
              <w:rPr>
                <w:rFonts w:ascii="Arial" w:eastAsia="Times New Roman" w:hAnsi="Arial" w:cs="Arial"/>
                <w:color w:val="000000"/>
                <w:kern w:val="0"/>
                <w:lang w:eastAsia="en-GB"/>
              </w:rPr>
            </w:pPr>
            <w:r>
              <w:rPr>
                <w:rFonts w:ascii="Arial" w:eastAsia="Times New Roman" w:hAnsi="Arial" w:cs="Arial"/>
                <w:color w:val="000000"/>
                <w:kern w:val="0"/>
                <w:lang w:eastAsia="en-GB"/>
              </w:rPr>
              <w:t>One person household</w:t>
            </w:r>
            <w:r w:rsidRPr="00091930">
              <w:rPr>
                <w:rFonts w:ascii="Arial" w:eastAsia="Times New Roman" w:hAnsi="Arial" w:cs="Arial"/>
                <w:color w:val="000000"/>
                <w:kern w:val="0"/>
                <w:lang w:eastAsia="en-GB"/>
              </w:rPr>
              <w:t xml:space="preserve"> aged </w:t>
            </w:r>
            <w:r>
              <w:rPr>
                <w:rFonts w:ascii="Arial" w:eastAsia="Times New Roman" w:hAnsi="Arial" w:cs="Arial"/>
                <w:color w:val="000000"/>
                <w:kern w:val="0"/>
                <w:lang w:eastAsia="en-GB"/>
              </w:rPr>
              <w:t xml:space="preserve">65+ </w:t>
            </w:r>
            <w:r w:rsidRPr="00091930">
              <w:rPr>
                <w:rFonts w:ascii="Arial" w:eastAsia="Times New Roman" w:hAnsi="Arial" w:cs="Arial"/>
                <w:color w:val="000000"/>
                <w:kern w:val="0"/>
                <w:lang w:eastAsia="en-GB"/>
              </w:rPr>
              <w:t>without wealth</w:t>
            </w:r>
          </w:p>
        </w:tc>
        <w:tc>
          <w:tcPr>
            <w:tcW w:w="1394" w:type="dxa"/>
            <w:tcBorders>
              <w:top w:val="nil"/>
              <w:left w:val="nil"/>
              <w:bottom w:val="single" w:sz="8" w:space="0" w:color="auto"/>
              <w:right w:val="single" w:sz="8" w:space="0" w:color="auto"/>
            </w:tcBorders>
            <w:shd w:val="clear" w:color="auto" w:fill="auto"/>
            <w:vAlign w:val="center"/>
            <w:hideMark/>
          </w:tcPr>
          <w:p w:rsidR="007B4DC1" w:rsidRPr="00091930" w:rsidRDefault="007B4DC1" w:rsidP="00BF22EF">
            <w:pPr>
              <w:tabs>
                <w:tab w:val="clear" w:pos="284"/>
              </w:tabs>
              <w:spacing w:line="240" w:lineRule="auto"/>
              <w:rPr>
                <w:rFonts w:ascii="Arial" w:eastAsia="Times New Roman" w:hAnsi="Arial" w:cs="Arial"/>
                <w:color w:val="000000"/>
                <w:kern w:val="0"/>
                <w:lang w:eastAsia="en-GB"/>
              </w:rPr>
            </w:pPr>
            <w:r w:rsidRPr="00091930">
              <w:rPr>
                <w:rFonts w:ascii="Arial" w:eastAsia="Times New Roman" w:hAnsi="Arial" w:cs="Arial"/>
                <w:color w:val="000000"/>
                <w:kern w:val="0"/>
                <w:lang w:eastAsia="en-GB"/>
              </w:rPr>
              <w:t>Lower Quartile (equity poor)</w:t>
            </w:r>
          </w:p>
        </w:tc>
        <w:tc>
          <w:tcPr>
            <w:tcW w:w="1831" w:type="dxa"/>
            <w:tcBorders>
              <w:top w:val="nil"/>
              <w:left w:val="nil"/>
              <w:bottom w:val="single" w:sz="8" w:space="0" w:color="auto"/>
              <w:right w:val="single" w:sz="8" w:space="0" w:color="auto"/>
            </w:tcBorders>
            <w:shd w:val="clear" w:color="auto" w:fill="auto"/>
            <w:vAlign w:val="center"/>
            <w:hideMark/>
          </w:tcPr>
          <w:p w:rsidR="007B4DC1" w:rsidRPr="00091930" w:rsidRDefault="007B4DC1" w:rsidP="00BF22EF">
            <w:pPr>
              <w:tabs>
                <w:tab w:val="clear" w:pos="284"/>
              </w:tabs>
              <w:spacing w:line="240" w:lineRule="auto"/>
              <w:rPr>
                <w:rFonts w:ascii="Arial" w:eastAsia="Times New Roman" w:hAnsi="Arial" w:cs="Arial"/>
                <w:color w:val="000000"/>
                <w:kern w:val="0"/>
                <w:lang w:eastAsia="en-GB"/>
              </w:rPr>
            </w:pPr>
            <w:r w:rsidRPr="00091930">
              <w:rPr>
                <w:rFonts w:ascii="Arial" w:eastAsia="Times New Roman" w:hAnsi="Arial" w:cs="Arial"/>
                <w:color w:val="000000"/>
                <w:kern w:val="0"/>
                <w:lang w:eastAsia="en-GB"/>
              </w:rPr>
              <w:t>Social Housing</w:t>
            </w:r>
          </w:p>
        </w:tc>
        <w:tc>
          <w:tcPr>
            <w:tcW w:w="1953" w:type="dxa"/>
            <w:tcBorders>
              <w:top w:val="nil"/>
              <w:left w:val="nil"/>
              <w:bottom w:val="single" w:sz="8" w:space="0" w:color="auto"/>
              <w:right w:val="single" w:sz="8" w:space="0" w:color="auto"/>
            </w:tcBorders>
            <w:shd w:val="clear" w:color="auto" w:fill="auto"/>
            <w:vAlign w:val="center"/>
            <w:hideMark/>
          </w:tcPr>
          <w:p w:rsidR="007B4DC1" w:rsidRPr="0096004E" w:rsidRDefault="007B4DC1" w:rsidP="00BF22EF">
            <w:pPr>
              <w:tabs>
                <w:tab w:val="clear" w:pos="284"/>
              </w:tabs>
              <w:spacing w:line="240" w:lineRule="auto"/>
              <w:jc w:val="center"/>
              <w:rPr>
                <w:rFonts w:ascii="Arial" w:eastAsia="Times New Roman" w:hAnsi="Arial" w:cs="Arial"/>
                <w:color w:val="000000"/>
                <w:kern w:val="0"/>
                <w:sz w:val="96"/>
                <w:lang w:eastAsia="en-GB"/>
              </w:rPr>
            </w:pPr>
            <w:r w:rsidRPr="0096004E">
              <w:rPr>
                <w:rFonts w:ascii="Arial" w:eastAsia="Times New Roman" w:hAnsi="Arial" w:cs="Arial"/>
                <w:color w:val="000000"/>
                <w:kern w:val="0"/>
                <w:sz w:val="96"/>
                <w:lang w:eastAsia="en-GB"/>
              </w:rPr>
              <w:sym w:font="Symbol" w:char="F0AD"/>
            </w:r>
            <w:r w:rsidRPr="0096004E">
              <w:rPr>
                <w:rFonts w:ascii="Arial" w:eastAsia="Times New Roman" w:hAnsi="Arial" w:cs="Arial"/>
                <w:color w:val="000000"/>
                <w:kern w:val="0"/>
                <w:sz w:val="96"/>
                <w:lang w:eastAsia="en-GB"/>
              </w:rPr>
              <w:sym w:font="Symbol" w:char="F0AD"/>
            </w:r>
            <w:r w:rsidRPr="0096004E">
              <w:rPr>
                <w:rFonts w:ascii="Arial" w:eastAsia="Times New Roman" w:hAnsi="Arial" w:cs="Arial"/>
                <w:color w:val="000000"/>
                <w:kern w:val="0"/>
                <w:sz w:val="96"/>
                <w:lang w:eastAsia="en-GB"/>
              </w:rPr>
              <w:sym w:font="Symbol" w:char="F0AD"/>
            </w:r>
          </w:p>
        </w:tc>
        <w:tc>
          <w:tcPr>
            <w:tcW w:w="1309" w:type="dxa"/>
            <w:tcBorders>
              <w:top w:val="nil"/>
              <w:left w:val="nil"/>
              <w:bottom w:val="single" w:sz="8" w:space="0" w:color="auto"/>
              <w:right w:val="single" w:sz="8" w:space="0" w:color="auto"/>
            </w:tcBorders>
            <w:shd w:val="clear" w:color="auto" w:fill="auto"/>
            <w:vAlign w:val="center"/>
            <w:hideMark/>
          </w:tcPr>
          <w:p w:rsidR="007B4DC1" w:rsidRPr="00091930" w:rsidRDefault="007B4DC1" w:rsidP="00BF22EF">
            <w:pPr>
              <w:tabs>
                <w:tab w:val="clear" w:pos="284"/>
              </w:tabs>
              <w:spacing w:line="240" w:lineRule="auto"/>
              <w:rPr>
                <w:rFonts w:ascii="Arial" w:eastAsia="Times New Roman" w:hAnsi="Arial" w:cs="Arial"/>
                <w:color w:val="000000"/>
                <w:kern w:val="0"/>
                <w:lang w:eastAsia="en-GB"/>
              </w:rPr>
            </w:pPr>
            <w:r w:rsidRPr="00091930">
              <w:rPr>
                <w:rFonts w:ascii="Arial" w:eastAsia="Times New Roman" w:hAnsi="Arial" w:cs="Arial"/>
                <w:color w:val="000000"/>
                <w:kern w:val="0"/>
                <w:lang w:eastAsia="en-GB"/>
              </w:rPr>
              <w:t>2 rooms</w:t>
            </w:r>
          </w:p>
        </w:tc>
      </w:tr>
      <w:tr w:rsidR="007B4DC1" w:rsidRPr="00091930" w:rsidTr="00A258B5">
        <w:trPr>
          <w:trHeight w:val="1185"/>
        </w:trPr>
        <w:tc>
          <w:tcPr>
            <w:tcW w:w="2593" w:type="dxa"/>
            <w:tcBorders>
              <w:top w:val="nil"/>
              <w:left w:val="single" w:sz="8" w:space="0" w:color="auto"/>
              <w:bottom w:val="single" w:sz="8" w:space="0" w:color="auto"/>
              <w:right w:val="single" w:sz="8" w:space="0" w:color="auto"/>
            </w:tcBorders>
            <w:shd w:val="clear" w:color="auto" w:fill="auto"/>
            <w:vAlign w:val="center"/>
            <w:hideMark/>
          </w:tcPr>
          <w:p w:rsidR="007B4DC1" w:rsidRPr="00091930" w:rsidRDefault="007B4DC1" w:rsidP="00BF22EF">
            <w:pPr>
              <w:tabs>
                <w:tab w:val="clear" w:pos="284"/>
              </w:tabs>
              <w:spacing w:line="240" w:lineRule="auto"/>
              <w:rPr>
                <w:rFonts w:ascii="Arial" w:eastAsia="Times New Roman" w:hAnsi="Arial" w:cs="Arial"/>
                <w:color w:val="000000"/>
                <w:kern w:val="0"/>
                <w:lang w:eastAsia="en-GB"/>
              </w:rPr>
            </w:pPr>
            <w:r w:rsidRPr="00091930">
              <w:rPr>
                <w:rFonts w:ascii="Arial" w:eastAsia="Times New Roman" w:hAnsi="Arial" w:cs="Arial"/>
                <w:color w:val="000000"/>
                <w:kern w:val="0"/>
                <w:lang w:eastAsia="en-GB"/>
              </w:rPr>
              <w:lastRenderedPageBreak/>
              <w:t xml:space="preserve">Young couple </w:t>
            </w:r>
            <w:r>
              <w:rPr>
                <w:rFonts w:ascii="Arial" w:eastAsia="Times New Roman" w:hAnsi="Arial" w:cs="Arial"/>
                <w:color w:val="000000"/>
                <w:kern w:val="0"/>
                <w:lang w:eastAsia="en-GB"/>
              </w:rPr>
              <w:t>no c</w:t>
            </w:r>
            <w:r w:rsidRPr="00091930">
              <w:rPr>
                <w:rFonts w:ascii="Arial" w:eastAsia="Times New Roman" w:hAnsi="Arial" w:cs="Arial"/>
                <w:color w:val="000000"/>
                <w:kern w:val="0"/>
                <w:lang w:eastAsia="en-GB"/>
              </w:rPr>
              <w:t xml:space="preserve">hildren </w:t>
            </w:r>
          </w:p>
        </w:tc>
        <w:tc>
          <w:tcPr>
            <w:tcW w:w="1394" w:type="dxa"/>
            <w:tcBorders>
              <w:top w:val="nil"/>
              <w:left w:val="nil"/>
              <w:bottom w:val="single" w:sz="8" w:space="0" w:color="auto"/>
              <w:right w:val="single" w:sz="8" w:space="0" w:color="auto"/>
            </w:tcBorders>
            <w:shd w:val="clear" w:color="auto" w:fill="auto"/>
            <w:vAlign w:val="center"/>
            <w:hideMark/>
          </w:tcPr>
          <w:p w:rsidR="007B4DC1" w:rsidRPr="00091930" w:rsidRDefault="007B4DC1" w:rsidP="00BF22EF">
            <w:pPr>
              <w:tabs>
                <w:tab w:val="clear" w:pos="284"/>
              </w:tabs>
              <w:spacing w:line="240" w:lineRule="auto"/>
              <w:rPr>
                <w:rFonts w:ascii="Arial" w:eastAsia="Times New Roman" w:hAnsi="Arial" w:cs="Arial"/>
                <w:color w:val="000000"/>
                <w:kern w:val="0"/>
                <w:lang w:eastAsia="en-GB"/>
              </w:rPr>
            </w:pPr>
            <w:r w:rsidRPr="00091930">
              <w:rPr>
                <w:rFonts w:ascii="Arial" w:eastAsia="Times New Roman" w:hAnsi="Arial" w:cs="Arial"/>
                <w:color w:val="000000"/>
                <w:kern w:val="0"/>
                <w:lang w:eastAsia="en-GB"/>
              </w:rPr>
              <w:t>&gt;Mean (equity poor)</w:t>
            </w:r>
          </w:p>
        </w:tc>
        <w:tc>
          <w:tcPr>
            <w:tcW w:w="1831" w:type="dxa"/>
            <w:tcBorders>
              <w:top w:val="nil"/>
              <w:left w:val="nil"/>
              <w:bottom w:val="single" w:sz="8" w:space="0" w:color="auto"/>
              <w:right w:val="single" w:sz="8" w:space="0" w:color="auto"/>
            </w:tcBorders>
            <w:shd w:val="clear" w:color="auto" w:fill="auto"/>
            <w:vAlign w:val="center"/>
            <w:hideMark/>
          </w:tcPr>
          <w:p w:rsidR="007B4DC1" w:rsidRPr="00091930" w:rsidRDefault="007B4DC1" w:rsidP="00BF22EF">
            <w:pPr>
              <w:tabs>
                <w:tab w:val="clear" w:pos="284"/>
              </w:tabs>
              <w:spacing w:line="240" w:lineRule="auto"/>
              <w:rPr>
                <w:rFonts w:ascii="Arial" w:eastAsia="Times New Roman" w:hAnsi="Arial" w:cs="Arial"/>
                <w:color w:val="000000"/>
                <w:kern w:val="0"/>
                <w:lang w:eastAsia="en-GB"/>
              </w:rPr>
            </w:pPr>
            <w:r w:rsidRPr="00091930">
              <w:rPr>
                <w:rFonts w:ascii="Arial" w:eastAsia="Times New Roman" w:hAnsi="Arial" w:cs="Arial"/>
                <w:color w:val="000000"/>
                <w:kern w:val="0"/>
                <w:lang w:eastAsia="en-GB"/>
              </w:rPr>
              <w:t>Market Housing, Shared Equity, DMH</w:t>
            </w:r>
          </w:p>
        </w:tc>
        <w:tc>
          <w:tcPr>
            <w:tcW w:w="1953" w:type="dxa"/>
            <w:tcBorders>
              <w:top w:val="nil"/>
              <w:left w:val="nil"/>
              <w:bottom w:val="single" w:sz="8" w:space="0" w:color="auto"/>
              <w:right w:val="single" w:sz="8" w:space="0" w:color="auto"/>
            </w:tcBorders>
            <w:shd w:val="clear" w:color="auto" w:fill="auto"/>
            <w:vAlign w:val="center"/>
            <w:hideMark/>
          </w:tcPr>
          <w:p w:rsidR="007B4DC1" w:rsidRPr="0096004E" w:rsidRDefault="007B4DC1" w:rsidP="00BF22EF">
            <w:pPr>
              <w:tabs>
                <w:tab w:val="clear" w:pos="284"/>
              </w:tabs>
              <w:spacing w:line="240" w:lineRule="auto"/>
              <w:jc w:val="center"/>
              <w:rPr>
                <w:rFonts w:ascii="Arial" w:eastAsia="Times New Roman" w:hAnsi="Arial" w:cs="Arial"/>
                <w:color w:val="000000"/>
                <w:kern w:val="0"/>
                <w:sz w:val="96"/>
                <w:lang w:eastAsia="en-GB"/>
              </w:rPr>
            </w:pPr>
            <w:r w:rsidRPr="0096004E">
              <w:rPr>
                <w:rFonts w:ascii="Arial" w:eastAsia="Times New Roman" w:hAnsi="Arial" w:cs="Arial"/>
                <w:color w:val="000000"/>
                <w:kern w:val="0"/>
                <w:sz w:val="96"/>
                <w:lang w:eastAsia="en-GB"/>
              </w:rPr>
              <w:sym w:font="Symbol" w:char="F0AB"/>
            </w:r>
          </w:p>
        </w:tc>
        <w:tc>
          <w:tcPr>
            <w:tcW w:w="1309" w:type="dxa"/>
            <w:tcBorders>
              <w:top w:val="nil"/>
              <w:left w:val="nil"/>
              <w:bottom w:val="single" w:sz="8" w:space="0" w:color="auto"/>
              <w:right w:val="single" w:sz="8" w:space="0" w:color="auto"/>
            </w:tcBorders>
            <w:shd w:val="clear" w:color="auto" w:fill="auto"/>
            <w:vAlign w:val="center"/>
            <w:hideMark/>
          </w:tcPr>
          <w:p w:rsidR="007B4DC1" w:rsidRPr="00091930" w:rsidRDefault="007B4DC1" w:rsidP="00BF22EF">
            <w:pPr>
              <w:tabs>
                <w:tab w:val="clear" w:pos="284"/>
              </w:tabs>
              <w:spacing w:line="240" w:lineRule="auto"/>
              <w:rPr>
                <w:rFonts w:ascii="Arial" w:eastAsia="Times New Roman" w:hAnsi="Arial" w:cs="Arial"/>
                <w:color w:val="000000"/>
                <w:kern w:val="0"/>
                <w:lang w:eastAsia="en-GB"/>
              </w:rPr>
            </w:pPr>
            <w:r w:rsidRPr="00091930">
              <w:rPr>
                <w:rFonts w:ascii="Arial" w:eastAsia="Times New Roman" w:hAnsi="Arial" w:cs="Arial"/>
                <w:color w:val="000000"/>
                <w:kern w:val="0"/>
                <w:lang w:eastAsia="en-GB"/>
              </w:rPr>
              <w:t>4+ rooms</w:t>
            </w:r>
          </w:p>
        </w:tc>
      </w:tr>
      <w:tr w:rsidR="007B4DC1" w:rsidRPr="00091930" w:rsidTr="00A258B5">
        <w:trPr>
          <w:trHeight w:val="1260"/>
        </w:trPr>
        <w:tc>
          <w:tcPr>
            <w:tcW w:w="2593" w:type="dxa"/>
            <w:tcBorders>
              <w:top w:val="nil"/>
              <w:left w:val="single" w:sz="8" w:space="0" w:color="auto"/>
              <w:bottom w:val="single" w:sz="8" w:space="0" w:color="auto"/>
              <w:right w:val="single" w:sz="8" w:space="0" w:color="auto"/>
            </w:tcBorders>
            <w:shd w:val="clear" w:color="auto" w:fill="auto"/>
            <w:vAlign w:val="center"/>
            <w:hideMark/>
          </w:tcPr>
          <w:p w:rsidR="007B4DC1" w:rsidRPr="00091930" w:rsidRDefault="007B4DC1" w:rsidP="00BF22EF">
            <w:pPr>
              <w:tabs>
                <w:tab w:val="clear" w:pos="284"/>
              </w:tabs>
              <w:spacing w:line="240" w:lineRule="auto"/>
              <w:rPr>
                <w:rFonts w:ascii="Arial" w:eastAsia="Times New Roman" w:hAnsi="Arial" w:cs="Arial"/>
                <w:color w:val="000000"/>
                <w:kern w:val="0"/>
                <w:lang w:eastAsia="en-GB"/>
              </w:rPr>
            </w:pPr>
            <w:r w:rsidRPr="00091930">
              <w:rPr>
                <w:rFonts w:ascii="Arial" w:eastAsia="Times New Roman" w:hAnsi="Arial" w:cs="Arial"/>
                <w:color w:val="000000"/>
                <w:kern w:val="0"/>
                <w:lang w:eastAsia="en-GB"/>
              </w:rPr>
              <w:t>Concealed households</w:t>
            </w:r>
          </w:p>
        </w:tc>
        <w:tc>
          <w:tcPr>
            <w:tcW w:w="1394" w:type="dxa"/>
            <w:tcBorders>
              <w:top w:val="nil"/>
              <w:left w:val="nil"/>
              <w:bottom w:val="single" w:sz="8" w:space="0" w:color="auto"/>
              <w:right w:val="single" w:sz="8" w:space="0" w:color="auto"/>
            </w:tcBorders>
            <w:shd w:val="clear" w:color="auto" w:fill="auto"/>
            <w:vAlign w:val="center"/>
            <w:hideMark/>
          </w:tcPr>
          <w:p w:rsidR="007B4DC1" w:rsidRPr="00091930" w:rsidRDefault="007B4DC1" w:rsidP="00BF22EF">
            <w:pPr>
              <w:tabs>
                <w:tab w:val="clear" w:pos="284"/>
              </w:tabs>
              <w:spacing w:line="240" w:lineRule="auto"/>
              <w:rPr>
                <w:rFonts w:ascii="Arial" w:eastAsia="Times New Roman" w:hAnsi="Arial" w:cs="Arial"/>
                <w:color w:val="000000"/>
                <w:kern w:val="0"/>
                <w:lang w:eastAsia="en-GB"/>
              </w:rPr>
            </w:pPr>
            <w:r w:rsidRPr="00091930">
              <w:rPr>
                <w:rFonts w:ascii="Arial" w:eastAsia="Times New Roman" w:hAnsi="Arial" w:cs="Arial"/>
                <w:color w:val="000000"/>
                <w:kern w:val="0"/>
                <w:lang w:eastAsia="en-GB"/>
              </w:rPr>
              <w:t>Lower Quartile (equity poor)</w:t>
            </w:r>
          </w:p>
        </w:tc>
        <w:tc>
          <w:tcPr>
            <w:tcW w:w="1831" w:type="dxa"/>
            <w:tcBorders>
              <w:top w:val="nil"/>
              <w:left w:val="nil"/>
              <w:bottom w:val="single" w:sz="8" w:space="0" w:color="auto"/>
              <w:right w:val="single" w:sz="8" w:space="0" w:color="auto"/>
            </w:tcBorders>
            <w:shd w:val="clear" w:color="auto" w:fill="auto"/>
            <w:vAlign w:val="center"/>
            <w:hideMark/>
          </w:tcPr>
          <w:p w:rsidR="007B4DC1" w:rsidRPr="00091930" w:rsidRDefault="007B4DC1" w:rsidP="00BF22EF">
            <w:pPr>
              <w:tabs>
                <w:tab w:val="clear" w:pos="284"/>
              </w:tabs>
              <w:spacing w:line="240" w:lineRule="auto"/>
              <w:rPr>
                <w:rFonts w:ascii="Arial" w:eastAsia="Times New Roman" w:hAnsi="Arial" w:cs="Arial"/>
                <w:color w:val="000000"/>
                <w:kern w:val="0"/>
                <w:lang w:eastAsia="en-GB"/>
              </w:rPr>
            </w:pPr>
            <w:r w:rsidRPr="00091930">
              <w:rPr>
                <w:rFonts w:ascii="Arial" w:eastAsia="Times New Roman" w:hAnsi="Arial" w:cs="Arial"/>
                <w:color w:val="000000"/>
                <w:kern w:val="0"/>
                <w:lang w:eastAsia="en-GB"/>
              </w:rPr>
              <w:t>Social Housing</w:t>
            </w:r>
          </w:p>
        </w:tc>
        <w:tc>
          <w:tcPr>
            <w:tcW w:w="1953" w:type="dxa"/>
            <w:tcBorders>
              <w:top w:val="nil"/>
              <w:left w:val="nil"/>
              <w:bottom w:val="single" w:sz="8" w:space="0" w:color="auto"/>
              <w:right w:val="single" w:sz="8" w:space="0" w:color="auto"/>
            </w:tcBorders>
            <w:shd w:val="clear" w:color="auto" w:fill="auto"/>
            <w:vAlign w:val="center"/>
            <w:hideMark/>
          </w:tcPr>
          <w:p w:rsidR="007B4DC1" w:rsidRPr="0096004E" w:rsidRDefault="007B4DC1" w:rsidP="00BF22EF">
            <w:pPr>
              <w:tabs>
                <w:tab w:val="clear" w:pos="284"/>
              </w:tabs>
              <w:spacing w:line="240" w:lineRule="auto"/>
              <w:jc w:val="center"/>
              <w:rPr>
                <w:rFonts w:ascii="Arial" w:eastAsia="Times New Roman" w:hAnsi="Arial" w:cs="Arial"/>
                <w:color w:val="000000"/>
                <w:kern w:val="0"/>
                <w:sz w:val="96"/>
                <w:lang w:eastAsia="en-GB"/>
              </w:rPr>
            </w:pPr>
            <w:r w:rsidRPr="0096004E">
              <w:rPr>
                <w:rFonts w:ascii="Arial" w:eastAsia="Times New Roman" w:hAnsi="Arial" w:cs="Arial"/>
                <w:color w:val="000000"/>
                <w:kern w:val="0"/>
                <w:sz w:val="96"/>
                <w:lang w:eastAsia="en-GB"/>
              </w:rPr>
              <w:sym w:font="Symbol" w:char="F0AB"/>
            </w:r>
          </w:p>
        </w:tc>
        <w:tc>
          <w:tcPr>
            <w:tcW w:w="1309" w:type="dxa"/>
            <w:tcBorders>
              <w:top w:val="nil"/>
              <w:left w:val="nil"/>
              <w:bottom w:val="single" w:sz="8" w:space="0" w:color="auto"/>
              <w:right w:val="single" w:sz="8" w:space="0" w:color="auto"/>
            </w:tcBorders>
            <w:shd w:val="clear" w:color="auto" w:fill="auto"/>
            <w:vAlign w:val="center"/>
            <w:hideMark/>
          </w:tcPr>
          <w:p w:rsidR="007B4DC1" w:rsidRPr="00091930" w:rsidRDefault="007B4DC1" w:rsidP="00BF22EF">
            <w:pPr>
              <w:tabs>
                <w:tab w:val="clear" w:pos="284"/>
              </w:tabs>
              <w:spacing w:line="240" w:lineRule="auto"/>
              <w:rPr>
                <w:rFonts w:ascii="Arial" w:eastAsia="Times New Roman" w:hAnsi="Arial" w:cs="Arial"/>
                <w:color w:val="000000"/>
                <w:kern w:val="0"/>
                <w:lang w:eastAsia="en-GB"/>
              </w:rPr>
            </w:pPr>
            <w:r w:rsidRPr="00091930">
              <w:rPr>
                <w:rFonts w:ascii="Arial" w:eastAsia="Times New Roman" w:hAnsi="Arial" w:cs="Arial"/>
                <w:color w:val="000000"/>
                <w:kern w:val="0"/>
                <w:lang w:eastAsia="en-GB"/>
              </w:rPr>
              <w:t>1-3 rooms</w:t>
            </w:r>
          </w:p>
        </w:tc>
      </w:tr>
    </w:tbl>
    <w:p w:rsidR="00B25544" w:rsidRDefault="007B4DC1" w:rsidP="00B25544">
      <w:pPr>
        <w:pStyle w:val="Source"/>
      </w:pPr>
      <w:r w:rsidRPr="00D343F2">
        <w:t>Source: AECOM</w:t>
      </w:r>
    </w:p>
    <w:p w:rsidR="007B4DC1" w:rsidRPr="00BB16DC" w:rsidRDefault="00A258B5" w:rsidP="00A258B5">
      <w:pPr>
        <w:pStyle w:val="ListNumber"/>
      </w:pPr>
      <w:r>
        <w:t xml:space="preserve">In </w:t>
      </w:r>
      <w:r w:rsidR="004D6078">
        <w:t>T</w:t>
      </w:r>
      <w:r>
        <w:t>able 13</w:t>
      </w:r>
      <w:r w:rsidR="007B4DC1" w:rsidRPr="00BB16DC">
        <w:t xml:space="preserve"> below we provide a table, devised by Nathaniel Litchfield and Partners, setting out recommended dwelling sizes for different household types. This table has been defined on the basis of the following assumptions</w:t>
      </w:r>
      <w:r w:rsidR="007B4DC1">
        <w:t>,</w:t>
      </w:r>
    </w:p>
    <w:p w:rsidR="007B4DC1" w:rsidRPr="00667370" w:rsidRDefault="007B4DC1" w:rsidP="00A258B5">
      <w:pPr>
        <w:pStyle w:val="ListNumber2"/>
        <w:numPr>
          <w:ilvl w:val="1"/>
          <w:numId w:val="43"/>
        </w:numPr>
      </w:pPr>
      <w:r w:rsidRPr="00667370">
        <w:t xml:space="preserve">Smaller apartments/flats or houses will be more suitable for meeting the initial requirements of married couples until the age they have a family. Those households without children could occupy either houses or flats of the appropriate size; </w:t>
      </w:r>
    </w:p>
    <w:p w:rsidR="007B4DC1" w:rsidRPr="00667370" w:rsidRDefault="007B4DC1" w:rsidP="00A258B5">
      <w:pPr>
        <w:pStyle w:val="ListNumber2"/>
        <w:numPr>
          <w:ilvl w:val="1"/>
          <w:numId w:val="43"/>
        </w:numPr>
      </w:pPr>
      <w:r w:rsidRPr="00667370">
        <w:t xml:space="preserve">Cohabiting couples and lone parents will want and require similar sizes of housing to married couples. Those households without children could occupy either houses or flats of the appropriate size; </w:t>
      </w:r>
    </w:p>
    <w:p w:rsidR="007B4DC1" w:rsidRPr="00667370" w:rsidRDefault="007B4DC1" w:rsidP="00A258B5">
      <w:pPr>
        <w:pStyle w:val="ListNumber2"/>
        <w:numPr>
          <w:ilvl w:val="1"/>
          <w:numId w:val="43"/>
        </w:numPr>
      </w:pPr>
      <w:r w:rsidRPr="00667370">
        <w:t xml:space="preserve">Smaller apartments/flats or houses will be more suitable to meeting the requirements of single person households; </w:t>
      </w:r>
    </w:p>
    <w:p w:rsidR="007B4DC1" w:rsidRPr="00667370" w:rsidRDefault="007B4DC1" w:rsidP="00A258B5">
      <w:pPr>
        <w:pStyle w:val="ListNumber2"/>
        <w:numPr>
          <w:ilvl w:val="1"/>
          <w:numId w:val="43"/>
        </w:numPr>
      </w:pPr>
      <w:r w:rsidRPr="00667370">
        <w:t xml:space="preserve">According to their composition, institutional accommodation such as a residential care home, hostel or purpose-built student accommodation </w:t>
      </w:r>
      <w:proofErr w:type="spellStart"/>
      <w:r>
        <w:rPr>
          <w:szCs w:val="16"/>
        </w:rPr>
        <w:t>accom</w:t>
      </w:r>
      <w:r w:rsidRPr="001D0AFA">
        <w:rPr>
          <w:szCs w:val="16"/>
        </w:rPr>
        <w:t>modation</w:t>
      </w:r>
      <w:proofErr w:type="spellEnd"/>
      <w:r w:rsidRPr="001D0AFA">
        <w:rPr>
          <w:szCs w:val="16"/>
        </w:rPr>
        <w:t xml:space="preserve"> </w:t>
      </w:r>
      <w:r>
        <w:rPr>
          <w:szCs w:val="16"/>
        </w:rPr>
        <w:t>may provide a suitable form of specialist housing for groups such as elderly people and students;</w:t>
      </w:r>
    </w:p>
    <w:p w:rsidR="007B4DC1" w:rsidRPr="00667370" w:rsidRDefault="007B4DC1" w:rsidP="00A258B5">
      <w:pPr>
        <w:pStyle w:val="ListNumber2"/>
        <w:numPr>
          <w:ilvl w:val="1"/>
          <w:numId w:val="43"/>
        </w:numPr>
      </w:pPr>
      <w:r w:rsidRPr="00667370">
        <w:t>Further qualitative allowances will need to be made of households at retirement age who are likely to continue living in their previous home unless more manageable t</w:t>
      </w:r>
      <w:r w:rsidR="009C7E35">
        <w:t>wo bed flats, houses and bungalo</w:t>
      </w:r>
      <w:r w:rsidRPr="00667370">
        <w:t xml:space="preserve">ws are available; and </w:t>
      </w:r>
    </w:p>
    <w:p w:rsidR="007B4DC1" w:rsidRPr="00667370" w:rsidRDefault="007B4DC1" w:rsidP="00A258B5">
      <w:pPr>
        <w:pStyle w:val="ListNumber2"/>
        <w:numPr>
          <w:ilvl w:val="1"/>
          <w:numId w:val="43"/>
        </w:numPr>
      </w:pPr>
      <w:r w:rsidRPr="00667370">
        <w:t>The requirement for housing with care, including supported housing and extra care provision, is likely to increase at 85 and above.</w:t>
      </w:r>
    </w:p>
    <w:p w:rsidR="00A258B5" w:rsidRDefault="00A258B5" w:rsidP="00A258B5">
      <w:pPr>
        <w:pStyle w:val="Caption"/>
      </w:pPr>
      <w:r>
        <w:t xml:space="preserve">Table </w:t>
      </w:r>
      <w:fldSimple w:instr=" SEQ Table \* ARABIC ">
        <w:r w:rsidR="00B25544">
          <w:rPr>
            <w:noProof/>
          </w:rPr>
          <w:t>13</w:t>
        </w:r>
      </w:fldSimple>
      <w:r>
        <w:t xml:space="preserve">: </w:t>
      </w:r>
      <w:r w:rsidRPr="004E2AFC">
        <w:t xml:space="preserve">Estimated </w:t>
      </w:r>
      <w:r w:rsidR="004D6078">
        <w:t>h</w:t>
      </w:r>
      <w:r w:rsidRPr="004E2AFC">
        <w:t xml:space="preserve">ousing </w:t>
      </w:r>
      <w:r w:rsidR="004D6078">
        <w:t>s</w:t>
      </w:r>
      <w:r w:rsidRPr="004E2AFC">
        <w:t xml:space="preserve">ize required by </w:t>
      </w:r>
      <w:r w:rsidR="004D6078">
        <w:t>h</w:t>
      </w:r>
      <w:r w:rsidRPr="004E2AFC">
        <w:t xml:space="preserve">ousehold </w:t>
      </w:r>
      <w:r w:rsidR="004D6078">
        <w:t>t</w:t>
      </w:r>
      <w:r w:rsidRPr="004E2AFC">
        <w:t xml:space="preserve">ype, by </w:t>
      </w:r>
      <w:r w:rsidR="004D6078">
        <w:t>a</w:t>
      </w:r>
      <w:r w:rsidRPr="004E2AFC">
        <w:t xml:space="preserve">ge of </w:t>
      </w:r>
      <w:r w:rsidR="004D6078">
        <w:t>h</w:t>
      </w:r>
      <w:r w:rsidRPr="004E2AFC">
        <w:t xml:space="preserve">ead of </w:t>
      </w:r>
      <w:r w:rsidR="004D6078">
        <w:t>h</w:t>
      </w:r>
      <w:r w:rsidRPr="004E2AFC">
        <w:t>ousehold</w:t>
      </w:r>
    </w:p>
    <w:p w:rsidR="007B4DC1" w:rsidRDefault="007B4DC1" w:rsidP="007B4DC1">
      <w:r>
        <w:rPr>
          <w:noProof/>
          <w:lang w:eastAsia="en-GB"/>
        </w:rPr>
        <w:drawing>
          <wp:inline distT="0" distB="0" distL="0" distR="0" wp14:anchorId="08B1E87F" wp14:editId="2C30FC59">
            <wp:extent cx="5731510" cy="2634615"/>
            <wp:effectExtent l="0" t="0" r="254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5731510" cy="2634615"/>
                    </a:xfrm>
                    <a:prstGeom prst="rect">
                      <a:avLst/>
                    </a:prstGeom>
                  </pic:spPr>
                </pic:pic>
              </a:graphicData>
            </a:graphic>
          </wp:inline>
        </w:drawing>
      </w:r>
    </w:p>
    <w:p w:rsidR="00B25544" w:rsidRDefault="00B25544" w:rsidP="00B25544">
      <w:pPr>
        <w:pStyle w:val="Source"/>
      </w:pPr>
      <w:r>
        <w:t>Source: NLP</w:t>
      </w:r>
    </w:p>
    <w:p w:rsidR="00886498" w:rsidRPr="00886498" w:rsidRDefault="00886498" w:rsidP="00A258B5">
      <w:pPr>
        <w:pStyle w:val="Heading3"/>
        <w:rPr>
          <w:lang w:val="en-US"/>
        </w:rPr>
      </w:pPr>
      <w:r w:rsidRPr="00886498">
        <w:rPr>
          <w:lang w:val="en-US"/>
        </w:rPr>
        <w:t xml:space="preserve">Arrows </w:t>
      </w:r>
      <w:r w:rsidR="00C22531">
        <w:rPr>
          <w:lang w:val="en-US"/>
        </w:rPr>
        <w:t>a</w:t>
      </w:r>
      <w:r w:rsidRPr="00886498">
        <w:rPr>
          <w:lang w:val="en-US"/>
        </w:rPr>
        <w:t>nalysis</w:t>
      </w:r>
    </w:p>
    <w:p w:rsidR="00886498" w:rsidRDefault="00886498" w:rsidP="00886498">
      <w:pPr>
        <w:rPr>
          <w:bCs/>
          <w:iCs/>
          <w:color w:val="000000" w:themeColor="text1"/>
          <w:lang w:val="en-US"/>
        </w:rPr>
      </w:pPr>
    </w:p>
    <w:p w:rsidR="00886498" w:rsidRPr="00A258B5" w:rsidRDefault="00886498" w:rsidP="00A258B5">
      <w:pPr>
        <w:pStyle w:val="ListNumber"/>
        <w:rPr>
          <w:lang w:val="en-US"/>
        </w:rPr>
      </w:pPr>
      <w:r>
        <w:rPr>
          <w:lang w:val="en-US"/>
        </w:rPr>
        <w:t xml:space="preserve">The principle trends that have been identified are, </w:t>
      </w:r>
    </w:p>
    <w:p w:rsidR="00886498" w:rsidRPr="00886498" w:rsidRDefault="00886498" w:rsidP="00A258B5">
      <w:pPr>
        <w:pStyle w:val="ListNumber2"/>
        <w:rPr>
          <w:lang w:val="en-US"/>
        </w:rPr>
      </w:pPr>
      <w:r w:rsidRPr="00886498">
        <w:rPr>
          <w:lang w:val="en-US"/>
        </w:rPr>
        <w:lastRenderedPageBreak/>
        <w:t>a decline in the</w:t>
      </w:r>
      <w:r>
        <w:rPr>
          <w:lang w:val="en-US"/>
        </w:rPr>
        <w:t xml:space="preserve"> number of those aged under 44, and a corresponding </w:t>
      </w:r>
      <w:r w:rsidRPr="00886498">
        <w:rPr>
          <w:lang w:val="en-US"/>
        </w:rPr>
        <w:t xml:space="preserve">decline in </w:t>
      </w:r>
      <w:r>
        <w:rPr>
          <w:lang w:val="en-US"/>
        </w:rPr>
        <w:t>all households with children, in particular y</w:t>
      </w:r>
      <w:r w:rsidR="00F91E96">
        <w:rPr>
          <w:lang w:val="en-US"/>
        </w:rPr>
        <w:t>ounger families</w:t>
      </w:r>
      <w:r w:rsidRPr="00886498">
        <w:rPr>
          <w:lang w:val="en-US"/>
        </w:rPr>
        <w:t>;</w:t>
      </w:r>
    </w:p>
    <w:p w:rsidR="00886498" w:rsidRPr="00886498" w:rsidRDefault="00886498" w:rsidP="00A258B5">
      <w:pPr>
        <w:pStyle w:val="ListNumber2"/>
        <w:rPr>
          <w:lang w:val="en-US"/>
        </w:rPr>
      </w:pPr>
      <w:r>
        <w:rPr>
          <w:lang w:val="en-US"/>
        </w:rPr>
        <w:t>the presence of a large minority of older residents (aged 65+), and the forecast this trend will continue; and</w:t>
      </w:r>
      <w:r w:rsidRPr="00886498">
        <w:rPr>
          <w:lang w:val="en-US"/>
        </w:rPr>
        <w:t xml:space="preserve"> </w:t>
      </w:r>
    </w:p>
    <w:p w:rsidR="00886498" w:rsidRPr="00A258B5" w:rsidRDefault="00886498" w:rsidP="00A258B5">
      <w:pPr>
        <w:pStyle w:val="ListNumber2"/>
        <w:rPr>
          <w:lang w:val="en-US"/>
        </w:rPr>
      </w:pPr>
      <w:proofErr w:type="gramStart"/>
      <w:r w:rsidRPr="00886498">
        <w:rPr>
          <w:lang w:val="en-US"/>
        </w:rPr>
        <w:t>the</w:t>
      </w:r>
      <w:proofErr w:type="gramEnd"/>
      <w:r w:rsidRPr="00886498">
        <w:rPr>
          <w:lang w:val="en-US"/>
        </w:rPr>
        <w:t xml:space="preserve"> increase in one-person households as a share of the overall population</w:t>
      </w:r>
      <w:r>
        <w:rPr>
          <w:lang w:val="en-US"/>
        </w:rPr>
        <w:t xml:space="preserve">. </w:t>
      </w:r>
    </w:p>
    <w:p w:rsidR="00F91E96" w:rsidRPr="00A258B5" w:rsidRDefault="00F91E96" w:rsidP="007B3872">
      <w:pPr>
        <w:pStyle w:val="ListNumber"/>
        <w:rPr>
          <w:color w:val="0070C0"/>
          <w:lang w:val="en-US"/>
        </w:rPr>
      </w:pPr>
      <w:r>
        <w:rPr>
          <w:lang w:val="en-US"/>
        </w:rPr>
        <w:t xml:space="preserve">We note that the first of these trends threaten to undermine the vitality and viability of the settlement. If this continues, it is likely to reduce demand for infrastructure targeted at families, for example primary schools and play services. </w:t>
      </w:r>
    </w:p>
    <w:p w:rsidR="007B3872" w:rsidRPr="00A258B5" w:rsidRDefault="007B3872" w:rsidP="007B3872">
      <w:pPr>
        <w:pStyle w:val="Heading3"/>
        <w:rPr>
          <w:rFonts w:ascii="Arial" w:hAnsi="Arial" w:cs="Arial"/>
          <w:szCs w:val="24"/>
        </w:rPr>
      </w:pPr>
      <w:r w:rsidRPr="00886498">
        <w:rPr>
          <w:lang w:val="en-US"/>
        </w:rPr>
        <w:t xml:space="preserve">Housing </w:t>
      </w:r>
      <w:r w:rsidR="00C22531">
        <w:rPr>
          <w:lang w:val="en-US"/>
        </w:rPr>
        <w:t>t</w:t>
      </w:r>
      <w:r w:rsidRPr="00886498">
        <w:rPr>
          <w:lang w:val="en-US"/>
        </w:rPr>
        <w:t>enure</w:t>
      </w:r>
    </w:p>
    <w:p w:rsidR="00312E94" w:rsidRDefault="007B3872" w:rsidP="00A258B5">
      <w:pPr>
        <w:pStyle w:val="ListNumber"/>
      </w:pPr>
      <w:r w:rsidRPr="007B3872">
        <w:t xml:space="preserve">Earlier in this study, we identified the various different tenures that constitute AH: social rented housing, </w:t>
      </w:r>
      <w:r w:rsidR="00312E94" w:rsidRPr="007B3872">
        <w:t>affordable rented housing</w:t>
      </w:r>
      <w:r w:rsidR="00312E94">
        <w:t xml:space="preserve">, shared ownership, </w:t>
      </w:r>
      <w:r w:rsidRPr="007B3872">
        <w:t>discounted market</w:t>
      </w:r>
      <w:r w:rsidR="00312E94">
        <w:t xml:space="preserve"> sales housing (Starter Homes) and </w:t>
      </w:r>
      <w:r w:rsidRPr="007B3872">
        <w:t>a</w:t>
      </w:r>
      <w:r w:rsidR="00312E94">
        <w:t>ffordable private rent housing</w:t>
      </w:r>
      <w:r w:rsidRPr="007B3872">
        <w:t xml:space="preserve">. </w:t>
      </w:r>
    </w:p>
    <w:p w:rsidR="00EE2EE7" w:rsidRDefault="00312E94" w:rsidP="00A258B5">
      <w:pPr>
        <w:pStyle w:val="ListNumber"/>
      </w:pPr>
      <w:r>
        <w:t xml:space="preserve">This variety of affordable housing tenures reflects an ambition </w:t>
      </w:r>
      <w:r w:rsidR="00EE2EE7">
        <w:t xml:space="preserve">by the </w:t>
      </w:r>
      <w:r w:rsidR="00C22531">
        <w:t>G</w:t>
      </w:r>
      <w:r w:rsidR="00EE2EE7">
        <w:t xml:space="preserve">overnment to </w:t>
      </w:r>
      <w:r>
        <w:t xml:space="preserve">introduce market principles into the provision of </w:t>
      </w:r>
      <w:r w:rsidR="00EE2EE7">
        <w:t>subsidised housing</w:t>
      </w:r>
      <w:r>
        <w:t xml:space="preserve">. The aim is to divide </w:t>
      </w:r>
      <w:r w:rsidR="00EE2EE7">
        <w:t>affordable housing</w:t>
      </w:r>
      <w:r>
        <w:t xml:space="preserve"> into a series of products design to appeal to d</w:t>
      </w:r>
      <w:r w:rsidR="00EE2EE7">
        <w:t>ifferent sectors of the market and, b</w:t>
      </w:r>
      <w:r>
        <w:t>y changing eligibility criteria, bring rents closer in line with people’s willingness to pay.</w:t>
      </w:r>
    </w:p>
    <w:p w:rsidR="00EE2EE7" w:rsidRDefault="00312E94" w:rsidP="00A258B5">
      <w:pPr>
        <w:pStyle w:val="ListNumber"/>
      </w:pPr>
      <w:r>
        <w:t xml:space="preserve"> A good example is, in 2012, the introduction of affordable rented dwellings, </w:t>
      </w:r>
      <w:r w:rsidRPr="00312E94">
        <w:t xml:space="preserve">rent </w:t>
      </w:r>
      <w:r>
        <w:t xml:space="preserve">for this tenure would be </w:t>
      </w:r>
      <w:r w:rsidRPr="00312E94">
        <w:t xml:space="preserve">set at up to 80% of market rent, with the additional income being used to help fund the development of new homes. </w:t>
      </w:r>
      <w:r w:rsidR="00EE2EE7">
        <w:t xml:space="preserve">Labelled and ‘intermediate’ product, this would be suitable for people with an income that precludes them from eligibility for the social rented dwellings, but who cannot afford to access the private market. </w:t>
      </w:r>
    </w:p>
    <w:p w:rsidR="00312E94" w:rsidRDefault="00312E94" w:rsidP="00A258B5">
      <w:pPr>
        <w:pStyle w:val="ListNumber"/>
      </w:pPr>
      <w:r>
        <w:t xml:space="preserve">The overall aim is to reduce the group who are eligible for social rented dwellings to </w:t>
      </w:r>
      <w:r w:rsidR="00EE2EE7">
        <w:t xml:space="preserve">those who have, relatively speaking, </w:t>
      </w:r>
      <w:proofErr w:type="gramStart"/>
      <w:r w:rsidR="00EE2EE7">
        <w:t>very</w:t>
      </w:r>
      <w:proofErr w:type="gramEnd"/>
      <w:r w:rsidR="00EE2EE7">
        <w:t xml:space="preserve"> low household income. Within this segment of the market principles also apply given the </w:t>
      </w:r>
      <w:r>
        <w:t xml:space="preserve">link </w:t>
      </w:r>
      <w:r w:rsidR="00EE2EE7">
        <w:t xml:space="preserve">between rents and </w:t>
      </w:r>
      <w:r>
        <w:t xml:space="preserve">size of dwelling, with a strong financial incentive </w:t>
      </w:r>
      <w:r w:rsidR="00EE2EE7">
        <w:t xml:space="preserve">for households </w:t>
      </w:r>
      <w:r>
        <w:t xml:space="preserve">only occupy a dwelling suited to their size, based on </w:t>
      </w:r>
      <w:r w:rsidR="00EE2EE7">
        <w:t>an ‘</w:t>
      </w:r>
      <w:r>
        <w:t>occupancy rating</w:t>
      </w:r>
      <w:r w:rsidR="00EE2EE7">
        <w:t>’</w:t>
      </w:r>
      <w:r>
        <w:t xml:space="preserve"> formula </w:t>
      </w:r>
      <w:r w:rsidR="00EE2EE7">
        <w:t xml:space="preserve">set by the Government </w:t>
      </w:r>
      <w:r w:rsidR="005A6A0E">
        <w:t xml:space="preserve">that establishes </w:t>
      </w:r>
      <w:r w:rsidR="00EE2EE7">
        <w:t xml:space="preserve">what is appropriate. </w:t>
      </w:r>
    </w:p>
    <w:p w:rsidR="00DB6B57" w:rsidRDefault="007B3872" w:rsidP="00A258B5">
      <w:pPr>
        <w:pStyle w:val="ListNumber"/>
      </w:pPr>
      <w:r w:rsidRPr="007B3872">
        <w:t xml:space="preserve">We consider each of </w:t>
      </w:r>
      <w:r w:rsidR="00B33D1F">
        <w:t>the AH tenures in turn</w:t>
      </w:r>
      <w:r w:rsidRPr="007B3872">
        <w:t xml:space="preserve">, before arriving at a recommendation for how the quota of AH yielded by development should be divided between these tenure types. </w:t>
      </w:r>
      <w:bookmarkStart w:id="107" w:name="_Toc486855687"/>
      <w:bookmarkStart w:id="108" w:name="_Toc493574816"/>
    </w:p>
    <w:p w:rsidR="00DB6B57" w:rsidRPr="00BA15B9" w:rsidRDefault="00DB6B57" w:rsidP="00A258B5">
      <w:pPr>
        <w:pStyle w:val="Heading3"/>
      </w:pPr>
      <w:r w:rsidRPr="00BA15B9">
        <w:t xml:space="preserve">Social rented housing </w:t>
      </w:r>
    </w:p>
    <w:p w:rsidR="00B33D1F" w:rsidRDefault="00B33D1F" w:rsidP="00DB6B57">
      <w:pPr>
        <w:rPr>
          <w:rFonts w:ascii="Arial" w:hAnsi="Arial" w:cs="Arial"/>
          <w:szCs w:val="24"/>
        </w:rPr>
      </w:pPr>
    </w:p>
    <w:p w:rsidR="00C369F3" w:rsidRDefault="00B33D1F" w:rsidP="00A258B5">
      <w:pPr>
        <w:pStyle w:val="ListNumber"/>
      </w:pPr>
      <w:r>
        <w:t>R</w:t>
      </w:r>
      <w:r w:rsidR="00271B5C" w:rsidRPr="00271B5C">
        <w:t xml:space="preserve">ents in socially rented properties </w:t>
      </w:r>
      <w:r w:rsidR="00271B5C">
        <w:t>reflect a</w:t>
      </w:r>
      <w:r w:rsidR="00271B5C" w:rsidRPr="00271B5C">
        <w:t xml:space="preserve"> </w:t>
      </w:r>
      <w:r w:rsidR="00271B5C">
        <w:t>‘</w:t>
      </w:r>
      <w:r w:rsidR="00271B5C" w:rsidRPr="00271B5C">
        <w:t>formula rent</w:t>
      </w:r>
      <w:r w:rsidR="00271B5C">
        <w:t>’</w:t>
      </w:r>
      <w:r w:rsidR="00271B5C" w:rsidRPr="00271B5C">
        <w:t xml:space="preserve"> based on a combination of individual property values and average earnings in each area, maintaining substantial discounts to market rents. As such, it is suitable for the needs of those on low incomes, and is subject to strict eligibility criteria. </w:t>
      </w:r>
      <w:r w:rsidR="00BA15B9" w:rsidRPr="00BA15B9">
        <w:t>As we have seen, the majority of households in Chichester South are able to afford market dwellings (for sale or rent); of the 30% that cannot, the evidence we have gathered, in particular the Lower Quartile Affordability Ratio of 10.41, suggests there is a significant minority who experience great difficulty in accessing housing suited to their needs. This will be exacerbated by the reported increase in house price</w:t>
      </w:r>
      <w:r w:rsidR="00BA15B9">
        <w:t xml:space="preserve">s in the area in recent years. Moreover, in order to address demographic trends that have seen a decline in the number of young family households, </w:t>
      </w:r>
      <w:r w:rsidR="00BA15B9" w:rsidRPr="00BA15B9">
        <w:t xml:space="preserve">it is appropriate for social </w:t>
      </w:r>
      <w:r w:rsidR="00BA15B9">
        <w:t xml:space="preserve">rented </w:t>
      </w:r>
      <w:r w:rsidR="00BA15B9" w:rsidRPr="00BA15B9">
        <w:t xml:space="preserve">housing to form the majority of </w:t>
      </w:r>
      <w:r w:rsidR="00BA15B9">
        <w:t xml:space="preserve">affordable homes provided. </w:t>
      </w:r>
    </w:p>
    <w:p w:rsidR="007B3872" w:rsidRPr="00A258B5" w:rsidRDefault="007B3872" w:rsidP="00A258B5">
      <w:pPr>
        <w:pStyle w:val="Heading3"/>
        <w:rPr>
          <w:rStyle w:val="Heading2Char"/>
          <w:bCs/>
          <w:sz w:val="22"/>
          <w:szCs w:val="18"/>
        </w:rPr>
      </w:pPr>
      <w:r w:rsidRPr="00A258B5">
        <w:t>Disc</w:t>
      </w:r>
      <w:r w:rsidRPr="00A258B5">
        <w:rPr>
          <w:rStyle w:val="Heading2Char"/>
          <w:bCs/>
          <w:sz w:val="22"/>
          <w:szCs w:val="18"/>
        </w:rPr>
        <w:t>ounted market housing</w:t>
      </w:r>
      <w:bookmarkEnd w:id="107"/>
      <w:r w:rsidRPr="00A258B5">
        <w:rPr>
          <w:rStyle w:val="Heading2Char"/>
          <w:bCs/>
          <w:sz w:val="22"/>
          <w:szCs w:val="18"/>
        </w:rPr>
        <w:t xml:space="preserve"> (starter homes)</w:t>
      </w:r>
      <w:bookmarkEnd w:id="108"/>
    </w:p>
    <w:p w:rsidR="00865E1B" w:rsidRDefault="007B3872" w:rsidP="00A258B5">
      <w:pPr>
        <w:pStyle w:val="ListNumber"/>
      </w:pPr>
      <w:r w:rsidRPr="005A2F52">
        <w:t xml:space="preserve">As we have seen, Housing and Planning Act 2016 (HPA) includes provisions to introduce a general duty on planning authorities in England to promote the supply of ‘starter homes,’ and a specific duty to require a minimum number or proportion of ‘starter homes’ on certain residential development sites. The relevant legislative provisions are, however, not yet in force and no specific proportion or minimum has been put forward.  </w:t>
      </w:r>
    </w:p>
    <w:p w:rsidR="00865E1B" w:rsidRDefault="007B3872" w:rsidP="00A258B5">
      <w:pPr>
        <w:pStyle w:val="ListNumber"/>
      </w:pPr>
      <w:r w:rsidRPr="005A2F52">
        <w:t>The Housing White Paper sheds further light on the government’s intentions in this area. It states that, ‘in keeping with our approach to deliver a range of affordable homes to buy, rather than a mandatory requirement for ‘starter homes,’ we intend to amend the NPPF to introduce a clear policy expectation that housing sites deliver a minimum of 10% affordable home ownership units. It will be for local areas to work with developers to agree an appropriate level of delivery of ‘starter homes’, alongside other affordable home ownership and rented tenures.’</w:t>
      </w:r>
    </w:p>
    <w:p w:rsidR="00865E1B" w:rsidRDefault="007B3872" w:rsidP="00A258B5">
      <w:pPr>
        <w:pStyle w:val="ListNumber"/>
      </w:pPr>
      <w:r w:rsidRPr="00865E1B">
        <w:t>This is a substantial watering-down of the ‘starter home’ requirement as envisaged when policy contained in the Housing and Planning Act was first conceived. In effect, it leaves it to local groups, including neighbourhood plans, to decide an appropriate level of affordable home ownership products, while taking note of the 10% policy expectation.</w:t>
      </w:r>
    </w:p>
    <w:p w:rsidR="00865E1B" w:rsidRDefault="007B3872" w:rsidP="00A258B5">
      <w:pPr>
        <w:pStyle w:val="ListNumber"/>
      </w:pPr>
      <w:r w:rsidRPr="00865E1B">
        <w:lastRenderedPageBreak/>
        <w:t xml:space="preserve">The decision whether to treat Discounted Market Sale Homes (DMSH) as affordable housing should be determined by whether lowering the asking price of new build homes of a size and type suitable to first time buyers by 20% would bring them within reach of people currently unable to access AMH for purchase. </w:t>
      </w:r>
    </w:p>
    <w:p w:rsidR="00C369F3" w:rsidRDefault="00C369F3" w:rsidP="00A258B5">
      <w:pPr>
        <w:pStyle w:val="ListNumber"/>
      </w:pPr>
      <w:r>
        <w:t xml:space="preserve">So as to provide a conservative assessment of suitability of DMSH, we propose to use the higher property values reported by estate agents; this set a value of £287,500 on an entry level dwelling. </w:t>
      </w:r>
      <w:r w:rsidR="007B3872" w:rsidRPr="00865E1B">
        <w:t>As we have seen, allowing for a 10% deposit, reducing the value of a LQ property priced at £</w:t>
      </w:r>
      <w:r>
        <w:t>287,500</w:t>
      </w:r>
      <w:r w:rsidR="007B3872" w:rsidRPr="00865E1B">
        <w:t xml:space="preserve"> for mortgage purposes to £ 151,589, and applying a further discount of 20% to arrive at the approximate selling price of a DMSH of £</w:t>
      </w:r>
      <w:r>
        <w:t>235,750, a house-hold on the median</w:t>
      </w:r>
      <w:r w:rsidR="007B3872" w:rsidRPr="00865E1B">
        <w:t xml:space="preserve"> income for mid-Sussex of £</w:t>
      </w:r>
      <w:r>
        <w:t>40,278 would struggle to afford</w:t>
      </w:r>
      <w:r w:rsidR="007B3872" w:rsidRPr="00865E1B">
        <w:t xml:space="preserve"> a dwelling at this price-point. The Income Threshold </w:t>
      </w:r>
      <w:r>
        <w:t xml:space="preserve">at a multiple of 3.5 is £ 67,357. </w:t>
      </w:r>
      <w:r w:rsidR="007B3872" w:rsidRPr="007C0094">
        <w:t xml:space="preserve">On the basis of the evidence we have gathered, we would therefore </w:t>
      </w:r>
      <w:r>
        <w:t xml:space="preserve">not </w:t>
      </w:r>
      <w:r w:rsidR="007B3872" w:rsidRPr="007C0094">
        <w:t>recommend DMSH form part of the AH quota within the NPA</w:t>
      </w:r>
      <w:r>
        <w:t xml:space="preserve">, notwithstanding the government’s policy expectation. </w:t>
      </w:r>
      <w:bookmarkStart w:id="109" w:name="_Toc486855688"/>
      <w:bookmarkStart w:id="110" w:name="_Toc493574817"/>
    </w:p>
    <w:p w:rsidR="00C369F3" w:rsidRDefault="007B3872" w:rsidP="00A258B5">
      <w:pPr>
        <w:pStyle w:val="Heading3"/>
      </w:pPr>
      <w:r w:rsidRPr="005A2F52">
        <w:t>Shared ownership</w:t>
      </w:r>
      <w:bookmarkEnd w:id="109"/>
      <w:bookmarkEnd w:id="110"/>
    </w:p>
    <w:p w:rsidR="00C369F3" w:rsidRDefault="007B3872" w:rsidP="00A258B5">
      <w:pPr>
        <w:pStyle w:val="ListNumber"/>
      </w:pPr>
      <w:r w:rsidRPr="00C369F3">
        <w:t xml:space="preserve">As we have seen, the shared ownership tenure has seen </w:t>
      </w:r>
      <w:r w:rsidR="003E2A26" w:rsidRPr="00C369F3">
        <w:t xml:space="preserve">modest </w:t>
      </w:r>
      <w:r w:rsidRPr="00C369F3">
        <w:t xml:space="preserve">growth in the NPA between the 2001 and 2011 Censuses. It is therefore worth considering its future role in </w:t>
      </w:r>
      <w:r w:rsidR="003E2A26" w:rsidRPr="00C369F3">
        <w:t>West Wittering</w:t>
      </w:r>
      <w:r w:rsidRPr="00C369F3">
        <w:t xml:space="preserve">. Shared ownership involves the purchaser buying an initial share in a property typically of between 25% and 75% and paying rent on the share retained by the provider. Shared ownership is flexible in two respects, in the share which can be purchased and in the rental payable on the share retained by the provider. Both of these are variable. </w:t>
      </w:r>
    </w:p>
    <w:p w:rsidR="00C369F3" w:rsidRDefault="007B3872" w:rsidP="00A258B5">
      <w:pPr>
        <w:pStyle w:val="ListNumber"/>
      </w:pPr>
      <w:r w:rsidRPr="00C369F3">
        <w:t xml:space="preserve">The share owned by the leaseholder can be varied by 'stair-casing'. Generally, stair-casing will be upward, thereby increasing the share owned. In exceptional circumstances (as a result of financial difficulties, and where the alternative is repossession), and at the discretion of the provider, shared owners may staircase down, thereby reducing the share they own. </w:t>
      </w:r>
    </w:p>
    <w:p w:rsidR="007B3872" w:rsidRPr="00C369F3" w:rsidRDefault="007B3872" w:rsidP="00A258B5">
      <w:pPr>
        <w:pStyle w:val="ListNumber"/>
      </w:pPr>
      <w:r w:rsidRPr="00C369F3">
        <w:t>Shared equity constitutes a form of AH, targeting those on incomes around the mean; as such, it is termed ‘intermediate’ and is available to both first-time buyers, people who have owned a home previously and council and housing association tenants with a good credit rating whose household income does not exceed £60,000. Given these conditions, on the basis of the affordability analysis discussed above, it should form pa</w:t>
      </w:r>
      <w:r w:rsidR="003E2A26" w:rsidRPr="00C369F3">
        <w:t xml:space="preserve">rt of the AH mix in the </w:t>
      </w:r>
      <w:r w:rsidR="005F5CF8">
        <w:t>Parish</w:t>
      </w:r>
      <w:r w:rsidR="003E2A26" w:rsidRPr="00C369F3">
        <w:t>.</w:t>
      </w:r>
    </w:p>
    <w:p w:rsidR="007B3872" w:rsidRPr="00E528D7" w:rsidRDefault="007B3872" w:rsidP="00A258B5">
      <w:pPr>
        <w:pStyle w:val="Heading3"/>
      </w:pPr>
      <w:bookmarkStart w:id="111" w:name="_Toc486855689"/>
      <w:bookmarkStart w:id="112" w:name="_Toc493574818"/>
      <w:r w:rsidRPr="00E528D7">
        <w:t>Affordable rent</w:t>
      </w:r>
      <w:bookmarkEnd w:id="111"/>
      <w:bookmarkEnd w:id="112"/>
    </w:p>
    <w:p w:rsidR="007B3872" w:rsidRPr="00C369F3" w:rsidRDefault="007B3872" w:rsidP="00A258B5">
      <w:pPr>
        <w:pStyle w:val="ListNumber"/>
      </w:pPr>
      <w:r w:rsidRPr="00C369F3">
        <w:t xml:space="preserve">Commentators have repeatedly raised concerns about affordable rent not constituting a realistic form of AH given that in many areas this reduces rent to levels that are still beyond the means of the target group: those on incomes substantially below the mean. The neighbourhood plan should flag the need for the cost of AH targeted at those on lower quartile household incomes to be linked to these income levels. </w:t>
      </w:r>
    </w:p>
    <w:p w:rsidR="003E2A26" w:rsidRPr="003E2A26" w:rsidRDefault="003E2A26" w:rsidP="00A258B5">
      <w:pPr>
        <w:pStyle w:val="Heading3"/>
      </w:pPr>
      <w:r w:rsidRPr="003E2A26">
        <w:t>Market housing</w:t>
      </w:r>
    </w:p>
    <w:p w:rsidR="007B3872" w:rsidRPr="00A457DA" w:rsidRDefault="007B3872" w:rsidP="00A258B5">
      <w:pPr>
        <w:pStyle w:val="ListNumber"/>
      </w:pPr>
      <w:r w:rsidRPr="00C945D5">
        <w:t xml:space="preserve">Given the limited quantity of Affordable Housing in the NPA, the needs of the great majority of the people will be served by the market. People on higher incomes will be able to access a variety of market dwellings; their choices will be driven principally by how much they can afford to spend, the extent to which old age is driving their choice of home as well as personal taste. </w:t>
      </w:r>
    </w:p>
    <w:p w:rsidR="007B3872" w:rsidRPr="00C945D5" w:rsidRDefault="007B3872" w:rsidP="00A258B5">
      <w:pPr>
        <w:pStyle w:val="ListNumber"/>
      </w:pPr>
      <w:r w:rsidRPr="00C945D5">
        <w:t xml:space="preserve">The operation of the market is the best means of addressing the demand for different types of housing for sale. It is important planning policy does not place unnecessary burdens on the market preventing its ability to respond to demand; this is after all the principal way equilibrium is achieved in the housing market and house price growth kept in check. In this way the notion of viability is essential. It is important not to deter development in the context of clear housing need; to do so will not only frustrate the delivery of new housing but also may deprive the community of resources for infrastructure improvements.  </w:t>
      </w:r>
    </w:p>
    <w:p w:rsidR="00A258B5" w:rsidRDefault="00A258B5">
      <w:pPr>
        <w:tabs>
          <w:tab w:val="clear" w:pos="284"/>
        </w:tabs>
        <w:spacing w:line="240" w:lineRule="auto"/>
        <w:rPr>
          <w:rFonts w:asciiTheme="majorHAnsi" w:eastAsiaTheme="majorEastAsia" w:hAnsiTheme="majorHAnsi" w:cstheme="majorBidi"/>
          <w:b/>
          <w:bCs/>
          <w:color w:val="00B5E2" w:themeColor="accent1"/>
          <w:sz w:val="30"/>
          <w:szCs w:val="28"/>
          <w:lang w:val="en-US"/>
        </w:rPr>
      </w:pPr>
      <w:r>
        <w:rPr>
          <w:lang w:val="en-US"/>
        </w:rPr>
        <w:br w:type="page"/>
      </w:r>
    </w:p>
    <w:p w:rsidR="003E2A26" w:rsidRDefault="003E2A26" w:rsidP="00A258B5">
      <w:pPr>
        <w:pStyle w:val="Heading1"/>
        <w:rPr>
          <w:lang w:val="en-US"/>
        </w:rPr>
      </w:pPr>
      <w:bookmarkStart w:id="113" w:name="_Toc504464744"/>
      <w:r w:rsidRPr="003E2A26">
        <w:rPr>
          <w:lang w:val="en-US"/>
        </w:rPr>
        <w:lastRenderedPageBreak/>
        <w:t>RQ3. What type (terrace, semi, bungalows, flats and detached) and size (number of habitable rooms) of housing is appropriate?</w:t>
      </w:r>
      <w:bookmarkEnd w:id="113"/>
    </w:p>
    <w:p w:rsidR="0021554C" w:rsidRDefault="0021554C" w:rsidP="00A258B5">
      <w:pPr>
        <w:pStyle w:val="ListNumber"/>
      </w:pPr>
      <w:r w:rsidRPr="00091930">
        <w:t>As identified earlier in this study, PPG recommends a consideration of the existing housing provision and its suitability, having regard for demographic shifts in age and household composition as well as affordability, to address future as well as current community need. For this reason, we start with a consideratio</w:t>
      </w:r>
      <w:r>
        <w:t xml:space="preserve">n </w:t>
      </w:r>
      <w:r w:rsidR="004444AD">
        <w:t>type and size within the existing</w:t>
      </w:r>
      <w:r w:rsidR="00836EDB">
        <w:t xml:space="preserve"> housing stock. </w:t>
      </w:r>
    </w:p>
    <w:p w:rsidR="00836EDB" w:rsidRPr="00091930" w:rsidRDefault="00A258B5" w:rsidP="00A258B5">
      <w:pPr>
        <w:pStyle w:val="ListNumber"/>
      </w:pPr>
      <w:r>
        <w:t>In Table 14</w:t>
      </w:r>
      <w:r w:rsidR="00836EDB">
        <w:t xml:space="preserve"> below we set out the balance of dwellings of different types in the NPA; this shows a clear preponderance of detached homes at 63.4% of all dwellings. Indeed, houses and bungalows form the great majority</w:t>
      </w:r>
      <w:r w:rsidR="002B27AA">
        <w:t xml:space="preserve"> of dwellings, with flats only representing</w:t>
      </w:r>
      <w:r w:rsidR="00836EDB">
        <w:t xml:space="preserve"> 6.8% of total housing stock. This is particularly significant given the sharp contrast with the </w:t>
      </w:r>
      <w:r w:rsidR="005F5CF8">
        <w:t>District</w:t>
      </w:r>
      <w:r w:rsidR="00836EDB">
        <w:t xml:space="preserve"> level geography in which there is a more even balance between houses of different types. </w:t>
      </w:r>
    </w:p>
    <w:p w:rsidR="00A258B5" w:rsidRDefault="00A258B5" w:rsidP="00A258B5">
      <w:pPr>
        <w:pStyle w:val="Caption"/>
      </w:pPr>
      <w:r>
        <w:t xml:space="preserve">Table </w:t>
      </w:r>
      <w:fldSimple w:instr=" SEQ Table \* ARABIC ">
        <w:r w:rsidR="00B25544">
          <w:rPr>
            <w:noProof/>
          </w:rPr>
          <w:t>14</w:t>
        </w:r>
      </w:fldSimple>
      <w:r>
        <w:t xml:space="preserve">: </w:t>
      </w:r>
      <w:r w:rsidRPr="008B5F74">
        <w:t>Accommodation type (households) in West Wittering, 2011</w:t>
      </w:r>
    </w:p>
    <w:tbl>
      <w:tblPr>
        <w:tblW w:w="9380" w:type="dxa"/>
        <w:tblInd w:w="98" w:type="dxa"/>
        <w:tblLook w:val="04A0" w:firstRow="1" w:lastRow="0" w:firstColumn="1" w:lastColumn="0" w:noHBand="0" w:noVBand="1"/>
      </w:tblPr>
      <w:tblGrid>
        <w:gridCol w:w="2268"/>
        <w:gridCol w:w="2910"/>
        <w:gridCol w:w="1301"/>
        <w:gridCol w:w="1599"/>
        <w:gridCol w:w="1302"/>
      </w:tblGrid>
      <w:tr w:rsidR="00836EDB" w:rsidRPr="00836EDB" w:rsidTr="00836EDB">
        <w:trPr>
          <w:trHeight w:val="240"/>
        </w:trPr>
        <w:tc>
          <w:tcPr>
            <w:tcW w:w="2268"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836EDB" w:rsidRPr="00836EDB" w:rsidRDefault="00836EDB" w:rsidP="00836EDB">
            <w:pPr>
              <w:tabs>
                <w:tab w:val="clear" w:pos="284"/>
              </w:tabs>
              <w:spacing w:line="240" w:lineRule="auto"/>
              <w:rPr>
                <w:rFonts w:ascii="Arial" w:eastAsia="Times New Roman" w:hAnsi="Arial" w:cs="Arial"/>
                <w:b/>
                <w:bCs/>
                <w:color w:val="000000"/>
                <w:kern w:val="0"/>
                <w:lang w:eastAsia="en-GB"/>
              </w:rPr>
            </w:pPr>
            <w:r w:rsidRPr="00836EDB">
              <w:rPr>
                <w:rFonts w:ascii="Arial" w:eastAsia="Times New Roman" w:hAnsi="Arial" w:cs="Arial"/>
                <w:b/>
                <w:bCs/>
                <w:color w:val="000000"/>
                <w:kern w:val="0"/>
                <w:lang w:eastAsia="en-GB"/>
              </w:rPr>
              <w:t>Dwelling type</w:t>
            </w:r>
          </w:p>
        </w:tc>
        <w:tc>
          <w:tcPr>
            <w:tcW w:w="2910" w:type="dxa"/>
            <w:tcBorders>
              <w:top w:val="single" w:sz="8" w:space="0" w:color="auto"/>
              <w:left w:val="nil"/>
              <w:bottom w:val="single" w:sz="4" w:space="0" w:color="auto"/>
              <w:right w:val="single" w:sz="4" w:space="0" w:color="auto"/>
            </w:tcBorders>
            <w:shd w:val="clear" w:color="auto" w:fill="auto"/>
            <w:noWrap/>
            <w:vAlign w:val="bottom"/>
            <w:hideMark/>
          </w:tcPr>
          <w:p w:rsidR="00836EDB" w:rsidRPr="00836EDB" w:rsidRDefault="00836EDB" w:rsidP="00836EDB">
            <w:pPr>
              <w:tabs>
                <w:tab w:val="clear" w:pos="284"/>
              </w:tabs>
              <w:spacing w:line="240" w:lineRule="auto"/>
              <w:rPr>
                <w:rFonts w:ascii="Arial" w:eastAsia="Times New Roman" w:hAnsi="Arial" w:cs="Arial"/>
                <w:b/>
                <w:bCs/>
                <w:color w:val="000000"/>
                <w:kern w:val="0"/>
                <w:lang w:eastAsia="en-GB"/>
              </w:rPr>
            </w:pPr>
            <w:r w:rsidRPr="00836EDB">
              <w:rPr>
                <w:rFonts w:ascii="Arial" w:eastAsia="Times New Roman" w:hAnsi="Arial" w:cs="Arial"/>
                <w:b/>
                <w:bCs/>
                <w:color w:val="000000"/>
                <w:kern w:val="0"/>
                <w:lang w:eastAsia="en-GB"/>
              </w:rPr>
              <w:t> </w:t>
            </w:r>
          </w:p>
        </w:tc>
        <w:tc>
          <w:tcPr>
            <w:tcW w:w="1301" w:type="dxa"/>
            <w:tcBorders>
              <w:top w:val="single" w:sz="8" w:space="0" w:color="auto"/>
              <w:left w:val="nil"/>
              <w:bottom w:val="single" w:sz="4" w:space="0" w:color="auto"/>
              <w:right w:val="single" w:sz="4" w:space="0" w:color="auto"/>
            </w:tcBorders>
            <w:shd w:val="clear" w:color="auto" w:fill="auto"/>
            <w:noWrap/>
            <w:vAlign w:val="bottom"/>
            <w:hideMark/>
          </w:tcPr>
          <w:p w:rsidR="00836EDB" w:rsidRPr="00836EDB" w:rsidRDefault="00836EDB" w:rsidP="00836EDB">
            <w:pPr>
              <w:tabs>
                <w:tab w:val="clear" w:pos="284"/>
              </w:tabs>
              <w:spacing w:line="240" w:lineRule="auto"/>
              <w:rPr>
                <w:rFonts w:ascii="Arial" w:eastAsia="Times New Roman" w:hAnsi="Arial" w:cs="Arial"/>
                <w:b/>
                <w:bCs/>
                <w:color w:val="000000"/>
                <w:kern w:val="0"/>
                <w:lang w:eastAsia="en-GB"/>
              </w:rPr>
            </w:pPr>
            <w:r w:rsidRPr="00836EDB">
              <w:rPr>
                <w:rFonts w:ascii="Arial" w:eastAsia="Times New Roman" w:hAnsi="Arial" w:cs="Arial"/>
                <w:b/>
                <w:bCs/>
                <w:color w:val="000000"/>
                <w:kern w:val="0"/>
                <w:lang w:eastAsia="en-GB"/>
              </w:rPr>
              <w:t>West Wittering</w:t>
            </w:r>
          </w:p>
        </w:tc>
        <w:tc>
          <w:tcPr>
            <w:tcW w:w="1599" w:type="dxa"/>
            <w:tcBorders>
              <w:top w:val="single" w:sz="8" w:space="0" w:color="auto"/>
              <w:left w:val="nil"/>
              <w:bottom w:val="single" w:sz="4" w:space="0" w:color="auto"/>
              <w:right w:val="single" w:sz="4" w:space="0" w:color="auto"/>
            </w:tcBorders>
            <w:shd w:val="clear" w:color="auto" w:fill="auto"/>
            <w:noWrap/>
            <w:vAlign w:val="bottom"/>
            <w:hideMark/>
          </w:tcPr>
          <w:p w:rsidR="00836EDB" w:rsidRPr="00836EDB" w:rsidRDefault="00836EDB" w:rsidP="00836EDB">
            <w:pPr>
              <w:tabs>
                <w:tab w:val="clear" w:pos="284"/>
              </w:tabs>
              <w:spacing w:line="240" w:lineRule="auto"/>
              <w:rPr>
                <w:rFonts w:ascii="Arial" w:eastAsia="Times New Roman" w:hAnsi="Arial" w:cs="Arial"/>
                <w:b/>
                <w:bCs/>
                <w:color w:val="000000"/>
                <w:kern w:val="0"/>
                <w:lang w:eastAsia="en-GB"/>
              </w:rPr>
            </w:pPr>
            <w:r w:rsidRPr="00836EDB">
              <w:rPr>
                <w:rFonts w:ascii="Arial" w:eastAsia="Times New Roman" w:hAnsi="Arial" w:cs="Arial"/>
                <w:b/>
                <w:bCs/>
                <w:color w:val="000000"/>
                <w:kern w:val="0"/>
                <w:lang w:eastAsia="en-GB"/>
              </w:rPr>
              <w:t>Chichester</w:t>
            </w:r>
          </w:p>
        </w:tc>
        <w:tc>
          <w:tcPr>
            <w:tcW w:w="1302" w:type="dxa"/>
            <w:tcBorders>
              <w:top w:val="single" w:sz="8" w:space="0" w:color="auto"/>
              <w:left w:val="nil"/>
              <w:bottom w:val="single" w:sz="4" w:space="0" w:color="auto"/>
              <w:right w:val="single" w:sz="8" w:space="0" w:color="auto"/>
            </w:tcBorders>
            <w:shd w:val="clear" w:color="auto" w:fill="auto"/>
            <w:noWrap/>
            <w:vAlign w:val="bottom"/>
            <w:hideMark/>
          </w:tcPr>
          <w:p w:rsidR="00836EDB" w:rsidRPr="00836EDB" w:rsidRDefault="00836EDB" w:rsidP="00836EDB">
            <w:pPr>
              <w:tabs>
                <w:tab w:val="clear" w:pos="284"/>
              </w:tabs>
              <w:spacing w:line="240" w:lineRule="auto"/>
              <w:rPr>
                <w:rFonts w:ascii="Arial" w:eastAsia="Times New Roman" w:hAnsi="Arial" w:cs="Arial"/>
                <w:b/>
                <w:bCs/>
                <w:color w:val="000000"/>
                <w:kern w:val="0"/>
                <w:lang w:eastAsia="en-GB"/>
              </w:rPr>
            </w:pPr>
            <w:r w:rsidRPr="00836EDB">
              <w:rPr>
                <w:rFonts w:ascii="Arial" w:eastAsia="Times New Roman" w:hAnsi="Arial" w:cs="Arial"/>
                <w:b/>
                <w:bCs/>
                <w:color w:val="000000"/>
                <w:kern w:val="0"/>
                <w:lang w:eastAsia="en-GB"/>
              </w:rPr>
              <w:t>England</w:t>
            </w:r>
          </w:p>
        </w:tc>
      </w:tr>
      <w:tr w:rsidR="00836EDB" w:rsidRPr="00836EDB" w:rsidTr="00836EDB">
        <w:trPr>
          <w:trHeight w:val="228"/>
        </w:trPr>
        <w:tc>
          <w:tcPr>
            <w:tcW w:w="2268" w:type="dxa"/>
            <w:tcBorders>
              <w:top w:val="nil"/>
              <w:left w:val="single" w:sz="8" w:space="0" w:color="auto"/>
              <w:bottom w:val="single" w:sz="4" w:space="0" w:color="auto"/>
              <w:right w:val="single" w:sz="4" w:space="0" w:color="auto"/>
            </w:tcBorders>
            <w:shd w:val="clear" w:color="auto" w:fill="auto"/>
            <w:noWrap/>
            <w:vAlign w:val="bottom"/>
            <w:hideMark/>
          </w:tcPr>
          <w:p w:rsidR="00836EDB" w:rsidRPr="00836EDB" w:rsidRDefault="00836EDB" w:rsidP="00836EDB">
            <w:pPr>
              <w:tabs>
                <w:tab w:val="clear" w:pos="284"/>
              </w:tabs>
              <w:spacing w:line="240" w:lineRule="auto"/>
              <w:rPr>
                <w:rFonts w:ascii="Arial" w:eastAsia="Times New Roman" w:hAnsi="Arial" w:cs="Arial"/>
                <w:color w:val="000000"/>
                <w:kern w:val="0"/>
                <w:lang w:eastAsia="en-GB"/>
              </w:rPr>
            </w:pPr>
            <w:r w:rsidRPr="00836EDB">
              <w:rPr>
                <w:rFonts w:ascii="Arial" w:eastAsia="Times New Roman" w:hAnsi="Arial" w:cs="Arial"/>
                <w:color w:val="000000"/>
                <w:kern w:val="0"/>
                <w:lang w:eastAsia="en-GB"/>
              </w:rPr>
              <w:t>Whole house or bungalow</w:t>
            </w:r>
          </w:p>
        </w:tc>
        <w:tc>
          <w:tcPr>
            <w:tcW w:w="2910" w:type="dxa"/>
            <w:tcBorders>
              <w:top w:val="nil"/>
              <w:left w:val="nil"/>
              <w:bottom w:val="single" w:sz="4" w:space="0" w:color="auto"/>
              <w:right w:val="single" w:sz="4" w:space="0" w:color="auto"/>
            </w:tcBorders>
            <w:shd w:val="clear" w:color="auto" w:fill="auto"/>
            <w:noWrap/>
            <w:vAlign w:val="bottom"/>
            <w:hideMark/>
          </w:tcPr>
          <w:p w:rsidR="00836EDB" w:rsidRPr="00836EDB" w:rsidRDefault="00836EDB" w:rsidP="00836EDB">
            <w:pPr>
              <w:tabs>
                <w:tab w:val="clear" w:pos="284"/>
              </w:tabs>
              <w:spacing w:line="240" w:lineRule="auto"/>
              <w:rPr>
                <w:rFonts w:ascii="Arial" w:eastAsia="Times New Roman" w:hAnsi="Arial" w:cs="Arial"/>
                <w:color w:val="000000"/>
                <w:kern w:val="0"/>
                <w:lang w:eastAsia="en-GB"/>
              </w:rPr>
            </w:pPr>
            <w:r w:rsidRPr="00836EDB">
              <w:rPr>
                <w:rFonts w:ascii="Arial" w:eastAsia="Times New Roman" w:hAnsi="Arial" w:cs="Arial"/>
                <w:color w:val="000000"/>
                <w:kern w:val="0"/>
                <w:lang w:eastAsia="en-GB"/>
              </w:rPr>
              <w:t>Detached</w:t>
            </w:r>
          </w:p>
        </w:tc>
        <w:tc>
          <w:tcPr>
            <w:tcW w:w="1301" w:type="dxa"/>
            <w:tcBorders>
              <w:top w:val="nil"/>
              <w:left w:val="nil"/>
              <w:bottom w:val="single" w:sz="4" w:space="0" w:color="auto"/>
              <w:right w:val="single" w:sz="4" w:space="0" w:color="auto"/>
            </w:tcBorders>
            <w:shd w:val="clear" w:color="auto" w:fill="auto"/>
            <w:noWrap/>
            <w:vAlign w:val="bottom"/>
            <w:hideMark/>
          </w:tcPr>
          <w:p w:rsidR="00836EDB" w:rsidRPr="00836EDB" w:rsidRDefault="00836EDB" w:rsidP="00836EDB">
            <w:pPr>
              <w:tabs>
                <w:tab w:val="clear" w:pos="284"/>
              </w:tabs>
              <w:spacing w:line="240" w:lineRule="auto"/>
              <w:jc w:val="right"/>
              <w:rPr>
                <w:rFonts w:ascii="Arial" w:eastAsia="Times New Roman" w:hAnsi="Arial" w:cs="Arial"/>
                <w:color w:val="000000"/>
                <w:kern w:val="0"/>
                <w:lang w:eastAsia="en-GB"/>
              </w:rPr>
            </w:pPr>
            <w:r w:rsidRPr="00836EDB">
              <w:rPr>
                <w:rFonts w:ascii="Arial" w:eastAsia="Times New Roman" w:hAnsi="Arial" w:cs="Arial"/>
                <w:color w:val="000000"/>
                <w:kern w:val="0"/>
                <w:lang w:eastAsia="en-GB"/>
              </w:rPr>
              <w:t>63.4%</w:t>
            </w:r>
          </w:p>
        </w:tc>
        <w:tc>
          <w:tcPr>
            <w:tcW w:w="1599" w:type="dxa"/>
            <w:tcBorders>
              <w:top w:val="nil"/>
              <w:left w:val="nil"/>
              <w:bottom w:val="single" w:sz="4" w:space="0" w:color="auto"/>
              <w:right w:val="single" w:sz="4" w:space="0" w:color="auto"/>
            </w:tcBorders>
            <w:shd w:val="clear" w:color="auto" w:fill="auto"/>
            <w:noWrap/>
            <w:vAlign w:val="bottom"/>
            <w:hideMark/>
          </w:tcPr>
          <w:p w:rsidR="00836EDB" w:rsidRPr="00836EDB" w:rsidRDefault="00836EDB" w:rsidP="00836EDB">
            <w:pPr>
              <w:tabs>
                <w:tab w:val="clear" w:pos="284"/>
              </w:tabs>
              <w:spacing w:line="240" w:lineRule="auto"/>
              <w:jc w:val="right"/>
              <w:rPr>
                <w:rFonts w:ascii="Arial" w:eastAsia="Times New Roman" w:hAnsi="Arial" w:cs="Arial"/>
                <w:color w:val="000000"/>
                <w:kern w:val="0"/>
                <w:lang w:eastAsia="en-GB"/>
              </w:rPr>
            </w:pPr>
            <w:r w:rsidRPr="00836EDB">
              <w:rPr>
                <w:rFonts w:ascii="Arial" w:eastAsia="Times New Roman" w:hAnsi="Arial" w:cs="Arial"/>
                <w:color w:val="000000"/>
                <w:kern w:val="0"/>
                <w:lang w:eastAsia="en-GB"/>
              </w:rPr>
              <w:t>37.4%</w:t>
            </w:r>
          </w:p>
        </w:tc>
        <w:tc>
          <w:tcPr>
            <w:tcW w:w="1302" w:type="dxa"/>
            <w:tcBorders>
              <w:top w:val="nil"/>
              <w:left w:val="nil"/>
              <w:bottom w:val="single" w:sz="4" w:space="0" w:color="auto"/>
              <w:right w:val="single" w:sz="8" w:space="0" w:color="auto"/>
            </w:tcBorders>
            <w:shd w:val="clear" w:color="auto" w:fill="auto"/>
            <w:noWrap/>
            <w:vAlign w:val="bottom"/>
            <w:hideMark/>
          </w:tcPr>
          <w:p w:rsidR="00836EDB" w:rsidRPr="00836EDB" w:rsidRDefault="00836EDB" w:rsidP="00836EDB">
            <w:pPr>
              <w:tabs>
                <w:tab w:val="clear" w:pos="284"/>
              </w:tabs>
              <w:spacing w:line="240" w:lineRule="auto"/>
              <w:jc w:val="right"/>
              <w:rPr>
                <w:rFonts w:ascii="Arial" w:eastAsia="Times New Roman" w:hAnsi="Arial" w:cs="Arial"/>
                <w:color w:val="000000"/>
                <w:kern w:val="0"/>
                <w:lang w:eastAsia="en-GB"/>
              </w:rPr>
            </w:pPr>
            <w:r w:rsidRPr="00836EDB">
              <w:rPr>
                <w:rFonts w:ascii="Arial" w:eastAsia="Times New Roman" w:hAnsi="Arial" w:cs="Arial"/>
                <w:color w:val="000000"/>
                <w:kern w:val="0"/>
                <w:lang w:eastAsia="en-GB"/>
              </w:rPr>
              <w:t>22.4%</w:t>
            </w:r>
          </w:p>
        </w:tc>
      </w:tr>
      <w:tr w:rsidR="00836EDB" w:rsidRPr="00836EDB" w:rsidTr="00836EDB">
        <w:trPr>
          <w:trHeight w:val="228"/>
        </w:trPr>
        <w:tc>
          <w:tcPr>
            <w:tcW w:w="2268" w:type="dxa"/>
            <w:tcBorders>
              <w:top w:val="nil"/>
              <w:left w:val="single" w:sz="8" w:space="0" w:color="auto"/>
              <w:bottom w:val="single" w:sz="4" w:space="0" w:color="auto"/>
              <w:right w:val="single" w:sz="4" w:space="0" w:color="auto"/>
            </w:tcBorders>
            <w:shd w:val="clear" w:color="auto" w:fill="auto"/>
            <w:noWrap/>
            <w:vAlign w:val="bottom"/>
            <w:hideMark/>
          </w:tcPr>
          <w:p w:rsidR="00836EDB" w:rsidRPr="00836EDB" w:rsidRDefault="00836EDB" w:rsidP="00836EDB">
            <w:pPr>
              <w:tabs>
                <w:tab w:val="clear" w:pos="284"/>
              </w:tabs>
              <w:spacing w:line="240" w:lineRule="auto"/>
              <w:rPr>
                <w:rFonts w:ascii="Arial" w:eastAsia="Times New Roman" w:hAnsi="Arial" w:cs="Arial"/>
                <w:color w:val="000000"/>
                <w:kern w:val="0"/>
                <w:lang w:eastAsia="en-GB"/>
              </w:rPr>
            </w:pPr>
            <w:r w:rsidRPr="00836EDB">
              <w:rPr>
                <w:rFonts w:ascii="Arial" w:eastAsia="Times New Roman" w:hAnsi="Arial" w:cs="Arial"/>
                <w:color w:val="000000"/>
                <w:kern w:val="0"/>
                <w:lang w:eastAsia="en-GB"/>
              </w:rPr>
              <w:t> </w:t>
            </w:r>
          </w:p>
        </w:tc>
        <w:tc>
          <w:tcPr>
            <w:tcW w:w="2910" w:type="dxa"/>
            <w:tcBorders>
              <w:top w:val="nil"/>
              <w:left w:val="nil"/>
              <w:bottom w:val="single" w:sz="4" w:space="0" w:color="auto"/>
              <w:right w:val="single" w:sz="4" w:space="0" w:color="auto"/>
            </w:tcBorders>
            <w:shd w:val="clear" w:color="auto" w:fill="auto"/>
            <w:noWrap/>
            <w:vAlign w:val="bottom"/>
            <w:hideMark/>
          </w:tcPr>
          <w:p w:rsidR="00836EDB" w:rsidRPr="00836EDB" w:rsidRDefault="00836EDB" w:rsidP="00836EDB">
            <w:pPr>
              <w:tabs>
                <w:tab w:val="clear" w:pos="284"/>
              </w:tabs>
              <w:spacing w:line="240" w:lineRule="auto"/>
              <w:rPr>
                <w:rFonts w:ascii="Arial" w:eastAsia="Times New Roman" w:hAnsi="Arial" w:cs="Arial"/>
                <w:color w:val="000000"/>
                <w:kern w:val="0"/>
                <w:lang w:eastAsia="en-GB"/>
              </w:rPr>
            </w:pPr>
            <w:r w:rsidRPr="00836EDB">
              <w:rPr>
                <w:rFonts w:ascii="Arial" w:eastAsia="Times New Roman" w:hAnsi="Arial" w:cs="Arial"/>
                <w:color w:val="000000"/>
                <w:kern w:val="0"/>
                <w:lang w:eastAsia="en-GB"/>
              </w:rPr>
              <w:t>Semi-detached</w:t>
            </w:r>
          </w:p>
        </w:tc>
        <w:tc>
          <w:tcPr>
            <w:tcW w:w="1301" w:type="dxa"/>
            <w:tcBorders>
              <w:top w:val="nil"/>
              <w:left w:val="nil"/>
              <w:bottom w:val="single" w:sz="4" w:space="0" w:color="auto"/>
              <w:right w:val="single" w:sz="4" w:space="0" w:color="auto"/>
            </w:tcBorders>
            <w:shd w:val="clear" w:color="auto" w:fill="auto"/>
            <w:noWrap/>
            <w:vAlign w:val="bottom"/>
            <w:hideMark/>
          </w:tcPr>
          <w:p w:rsidR="00836EDB" w:rsidRPr="00836EDB" w:rsidRDefault="00836EDB" w:rsidP="00836EDB">
            <w:pPr>
              <w:tabs>
                <w:tab w:val="clear" w:pos="284"/>
              </w:tabs>
              <w:spacing w:line="240" w:lineRule="auto"/>
              <w:jc w:val="right"/>
              <w:rPr>
                <w:rFonts w:ascii="Arial" w:eastAsia="Times New Roman" w:hAnsi="Arial" w:cs="Arial"/>
                <w:color w:val="000000"/>
                <w:kern w:val="0"/>
                <w:lang w:eastAsia="en-GB"/>
              </w:rPr>
            </w:pPr>
            <w:r w:rsidRPr="00836EDB">
              <w:rPr>
                <w:rFonts w:ascii="Arial" w:eastAsia="Times New Roman" w:hAnsi="Arial" w:cs="Arial"/>
                <w:color w:val="000000"/>
                <w:kern w:val="0"/>
                <w:lang w:eastAsia="en-GB"/>
              </w:rPr>
              <w:t>19.5%</w:t>
            </w:r>
          </w:p>
        </w:tc>
        <w:tc>
          <w:tcPr>
            <w:tcW w:w="1599" w:type="dxa"/>
            <w:tcBorders>
              <w:top w:val="nil"/>
              <w:left w:val="nil"/>
              <w:bottom w:val="single" w:sz="4" w:space="0" w:color="auto"/>
              <w:right w:val="single" w:sz="4" w:space="0" w:color="auto"/>
            </w:tcBorders>
            <w:shd w:val="clear" w:color="auto" w:fill="auto"/>
            <w:noWrap/>
            <w:vAlign w:val="bottom"/>
            <w:hideMark/>
          </w:tcPr>
          <w:p w:rsidR="00836EDB" w:rsidRPr="00836EDB" w:rsidRDefault="00836EDB" w:rsidP="00836EDB">
            <w:pPr>
              <w:tabs>
                <w:tab w:val="clear" w:pos="284"/>
              </w:tabs>
              <w:spacing w:line="240" w:lineRule="auto"/>
              <w:jc w:val="right"/>
              <w:rPr>
                <w:rFonts w:ascii="Arial" w:eastAsia="Times New Roman" w:hAnsi="Arial" w:cs="Arial"/>
                <w:color w:val="000000"/>
                <w:kern w:val="0"/>
                <w:lang w:eastAsia="en-GB"/>
              </w:rPr>
            </w:pPr>
            <w:r w:rsidRPr="00836EDB">
              <w:rPr>
                <w:rFonts w:ascii="Arial" w:eastAsia="Times New Roman" w:hAnsi="Arial" w:cs="Arial"/>
                <w:color w:val="000000"/>
                <w:kern w:val="0"/>
                <w:lang w:eastAsia="en-GB"/>
              </w:rPr>
              <w:t>27.3%</w:t>
            </w:r>
          </w:p>
        </w:tc>
        <w:tc>
          <w:tcPr>
            <w:tcW w:w="1302" w:type="dxa"/>
            <w:tcBorders>
              <w:top w:val="nil"/>
              <w:left w:val="nil"/>
              <w:bottom w:val="single" w:sz="4" w:space="0" w:color="auto"/>
              <w:right w:val="single" w:sz="8" w:space="0" w:color="auto"/>
            </w:tcBorders>
            <w:shd w:val="clear" w:color="auto" w:fill="auto"/>
            <w:noWrap/>
            <w:vAlign w:val="bottom"/>
            <w:hideMark/>
          </w:tcPr>
          <w:p w:rsidR="00836EDB" w:rsidRPr="00836EDB" w:rsidRDefault="00836EDB" w:rsidP="00836EDB">
            <w:pPr>
              <w:tabs>
                <w:tab w:val="clear" w:pos="284"/>
              </w:tabs>
              <w:spacing w:line="240" w:lineRule="auto"/>
              <w:jc w:val="right"/>
              <w:rPr>
                <w:rFonts w:ascii="Arial" w:eastAsia="Times New Roman" w:hAnsi="Arial" w:cs="Arial"/>
                <w:color w:val="000000"/>
                <w:kern w:val="0"/>
                <w:lang w:eastAsia="en-GB"/>
              </w:rPr>
            </w:pPr>
            <w:r w:rsidRPr="00836EDB">
              <w:rPr>
                <w:rFonts w:ascii="Arial" w:eastAsia="Times New Roman" w:hAnsi="Arial" w:cs="Arial"/>
                <w:color w:val="000000"/>
                <w:kern w:val="0"/>
                <w:lang w:eastAsia="en-GB"/>
              </w:rPr>
              <w:t>31.2%</w:t>
            </w:r>
          </w:p>
        </w:tc>
      </w:tr>
      <w:tr w:rsidR="00836EDB" w:rsidRPr="00836EDB" w:rsidTr="00836EDB">
        <w:trPr>
          <w:trHeight w:val="228"/>
        </w:trPr>
        <w:tc>
          <w:tcPr>
            <w:tcW w:w="2268" w:type="dxa"/>
            <w:tcBorders>
              <w:top w:val="nil"/>
              <w:left w:val="single" w:sz="8" w:space="0" w:color="auto"/>
              <w:bottom w:val="single" w:sz="4" w:space="0" w:color="auto"/>
              <w:right w:val="single" w:sz="4" w:space="0" w:color="auto"/>
            </w:tcBorders>
            <w:shd w:val="clear" w:color="auto" w:fill="auto"/>
            <w:noWrap/>
            <w:vAlign w:val="bottom"/>
            <w:hideMark/>
          </w:tcPr>
          <w:p w:rsidR="00836EDB" w:rsidRPr="00836EDB" w:rsidRDefault="00836EDB" w:rsidP="00836EDB">
            <w:pPr>
              <w:tabs>
                <w:tab w:val="clear" w:pos="284"/>
              </w:tabs>
              <w:spacing w:line="240" w:lineRule="auto"/>
              <w:rPr>
                <w:rFonts w:ascii="Arial" w:eastAsia="Times New Roman" w:hAnsi="Arial" w:cs="Arial"/>
                <w:color w:val="000000"/>
                <w:kern w:val="0"/>
                <w:lang w:eastAsia="en-GB"/>
              </w:rPr>
            </w:pPr>
            <w:r w:rsidRPr="00836EDB">
              <w:rPr>
                <w:rFonts w:ascii="Arial" w:eastAsia="Times New Roman" w:hAnsi="Arial" w:cs="Arial"/>
                <w:color w:val="000000"/>
                <w:kern w:val="0"/>
                <w:lang w:eastAsia="en-GB"/>
              </w:rPr>
              <w:t> </w:t>
            </w:r>
          </w:p>
        </w:tc>
        <w:tc>
          <w:tcPr>
            <w:tcW w:w="2910" w:type="dxa"/>
            <w:tcBorders>
              <w:top w:val="nil"/>
              <w:left w:val="nil"/>
              <w:bottom w:val="single" w:sz="4" w:space="0" w:color="auto"/>
              <w:right w:val="single" w:sz="4" w:space="0" w:color="auto"/>
            </w:tcBorders>
            <w:shd w:val="clear" w:color="auto" w:fill="auto"/>
            <w:noWrap/>
            <w:vAlign w:val="bottom"/>
            <w:hideMark/>
          </w:tcPr>
          <w:p w:rsidR="00836EDB" w:rsidRPr="00836EDB" w:rsidRDefault="00836EDB" w:rsidP="00836EDB">
            <w:pPr>
              <w:tabs>
                <w:tab w:val="clear" w:pos="284"/>
              </w:tabs>
              <w:spacing w:line="240" w:lineRule="auto"/>
              <w:rPr>
                <w:rFonts w:ascii="Arial" w:eastAsia="Times New Roman" w:hAnsi="Arial" w:cs="Arial"/>
                <w:color w:val="000000"/>
                <w:kern w:val="0"/>
                <w:lang w:eastAsia="en-GB"/>
              </w:rPr>
            </w:pPr>
            <w:r w:rsidRPr="00836EDB">
              <w:rPr>
                <w:rFonts w:ascii="Arial" w:eastAsia="Times New Roman" w:hAnsi="Arial" w:cs="Arial"/>
                <w:color w:val="000000"/>
                <w:kern w:val="0"/>
                <w:lang w:eastAsia="en-GB"/>
              </w:rPr>
              <w:t>Terraced</w:t>
            </w:r>
          </w:p>
        </w:tc>
        <w:tc>
          <w:tcPr>
            <w:tcW w:w="1301" w:type="dxa"/>
            <w:tcBorders>
              <w:top w:val="nil"/>
              <w:left w:val="nil"/>
              <w:bottom w:val="single" w:sz="4" w:space="0" w:color="auto"/>
              <w:right w:val="single" w:sz="4" w:space="0" w:color="auto"/>
            </w:tcBorders>
            <w:shd w:val="clear" w:color="auto" w:fill="auto"/>
            <w:noWrap/>
            <w:vAlign w:val="bottom"/>
            <w:hideMark/>
          </w:tcPr>
          <w:p w:rsidR="00836EDB" w:rsidRPr="00836EDB" w:rsidRDefault="00836EDB" w:rsidP="00836EDB">
            <w:pPr>
              <w:tabs>
                <w:tab w:val="clear" w:pos="284"/>
              </w:tabs>
              <w:spacing w:line="240" w:lineRule="auto"/>
              <w:jc w:val="right"/>
              <w:rPr>
                <w:rFonts w:ascii="Arial" w:eastAsia="Times New Roman" w:hAnsi="Arial" w:cs="Arial"/>
                <w:color w:val="000000"/>
                <w:kern w:val="0"/>
                <w:lang w:eastAsia="en-GB"/>
              </w:rPr>
            </w:pPr>
            <w:r w:rsidRPr="00836EDB">
              <w:rPr>
                <w:rFonts w:ascii="Arial" w:eastAsia="Times New Roman" w:hAnsi="Arial" w:cs="Arial"/>
                <w:color w:val="000000"/>
                <w:kern w:val="0"/>
                <w:lang w:eastAsia="en-GB"/>
              </w:rPr>
              <w:t>8.3%</w:t>
            </w:r>
          </w:p>
        </w:tc>
        <w:tc>
          <w:tcPr>
            <w:tcW w:w="1599" w:type="dxa"/>
            <w:tcBorders>
              <w:top w:val="nil"/>
              <w:left w:val="nil"/>
              <w:bottom w:val="single" w:sz="4" w:space="0" w:color="auto"/>
              <w:right w:val="single" w:sz="4" w:space="0" w:color="auto"/>
            </w:tcBorders>
            <w:shd w:val="clear" w:color="auto" w:fill="auto"/>
            <w:noWrap/>
            <w:vAlign w:val="bottom"/>
            <w:hideMark/>
          </w:tcPr>
          <w:p w:rsidR="00836EDB" w:rsidRPr="00836EDB" w:rsidRDefault="00836EDB" w:rsidP="00836EDB">
            <w:pPr>
              <w:tabs>
                <w:tab w:val="clear" w:pos="284"/>
              </w:tabs>
              <w:spacing w:line="240" w:lineRule="auto"/>
              <w:jc w:val="right"/>
              <w:rPr>
                <w:rFonts w:ascii="Arial" w:eastAsia="Times New Roman" w:hAnsi="Arial" w:cs="Arial"/>
                <w:color w:val="000000"/>
                <w:kern w:val="0"/>
                <w:lang w:eastAsia="en-GB"/>
              </w:rPr>
            </w:pPr>
            <w:r w:rsidRPr="00836EDB">
              <w:rPr>
                <w:rFonts w:ascii="Arial" w:eastAsia="Times New Roman" w:hAnsi="Arial" w:cs="Arial"/>
                <w:color w:val="000000"/>
                <w:kern w:val="0"/>
                <w:lang w:eastAsia="en-GB"/>
              </w:rPr>
              <w:t>18.4%</w:t>
            </w:r>
          </w:p>
        </w:tc>
        <w:tc>
          <w:tcPr>
            <w:tcW w:w="1302" w:type="dxa"/>
            <w:tcBorders>
              <w:top w:val="nil"/>
              <w:left w:val="nil"/>
              <w:bottom w:val="single" w:sz="4" w:space="0" w:color="auto"/>
              <w:right w:val="single" w:sz="8" w:space="0" w:color="auto"/>
            </w:tcBorders>
            <w:shd w:val="clear" w:color="auto" w:fill="auto"/>
            <w:noWrap/>
            <w:vAlign w:val="bottom"/>
            <w:hideMark/>
          </w:tcPr>
          <w:p w:rsidR="00836EDB" w:rsidRPr="00836EDB" w:rsidRDefault="00836EDB" w:rsidP="00836EDB">
            <w:pPr>
              <w:tabs>
                <w:tab w:val="clear" w:pos="284"/>
              </w:tabs>
              <w:spacing w:line="240" w:lineRule="auto"/>
              <w:jc w:val="right"/>
              <w:rPr>
                <w:rFonts w:ascii="Arial" w:eastAsia="Times New Roman" w:hAnsi="Arial" w:cs="Arial"/>
                <w:color w:val="000000"/>
                <w:kern w:val="0"/>
                <w:lang w:eastAsia="en-GB"/>
              </w:rPr>
            </w:pPr>
            <w:r w:rsidRPr="00836EDB">
              <w:rPr>
                <w:rFonts w:ascii="Arial" w:eastAsia="Times New Roman" w:hAnsi="Arial" w:cs="Arial"/>
                <w:color w:val="000000"/>
                <w:kern w:val="0"/>
                <w:lang w:eastAsia="en-GB"/>
              </w:rPr>
              <w:t>24.5%</w:t>
            </w:r>
          </w:p>
        </w:tc>
      </w:tr>
      <w:tr w:rsidR="00836EDB" w:rsidRPr="00836EDB" w:rsidTr="00836EDB">
        <w:trPr>
          <w:trHeight w:val="228"/>
        </w:trPr>
        <w:tc>
          <w:tcPr>
            <w:tcW w:w="2268" w:type="dxa"/>
            <w:tcBorders>
              <w:top w:val="nil"/>
              <w:left w:val="single" w:sz="8" w:space="0" w:color="auto"/>
              <w:bottom w:val="single" w:sz="4" w:space="0" w:color="auto"/>
              <w:right w:val="single" w:sz="4" w:space="0" w:color="auto"/>
            </w:tcBorders>
            <w:shd w:val="clear" w:color="auto" w:fill="auto"/>
            <w:noWrap/>
            <w:vAlign w:val="bottom"/>
            <w:hideMark/>
          </w:tcPr>
          <w:p w:rsidR="00836EDB" w:rsidRPr="00836EDB" w:rsidRDefault="00836EDB" w:rsidP="00836EDB">
            <w:pPr>
              <w:tabs>
                <w:tab w:val="clear" w:pos="284"/>
              </w:tabs>
              <w:spacing w:line="240" w:lineRule="auto"/>
              <w:rPr>
                <w:rFonts w:ascii="Arial" w:eastAsia="Times New Roman" w:hAnsi="Arial" w:cs="Arial"/>
                <w:color w:val="000000"/>
                <w:kern w:val="0"/>
                <w:lang w:eastAsia="en-GB"/>
              </w:rPr>
            </w:pPr>
            <w:r w:rsidRPr="00836EDB">
              <w:rPr>
                <w:rFonts w:ascii="Arial" w:eastAsia="Times New Roman" w:hAnsi="Arial" w:cs="Arial"/>
                <w:color w:val="000000"/>
                <w:kern w:val="0"/>
                <w:lang w:eastAsia="en-GB"/>
              </w:rPr>
              <w:t>Flat, maisonette or apartment</w:t>
            </w:r>
          </w:p>
        </w:tc>
        <w:tc>
          <w:tcPr>
            <w:tcW w:w="2910" w:type="dxa"/>
            <w:tcBorders>
              <w:top w:val="nil"/>
              <w:left w:val="nil"/>
              <w:bottom w:val="single" w:sz="4" w:space="0" w:color="auto"/>
              <w:right w:val="single" w:sz="4" w:space="0" w:color="auto"/>
            </w:tcBorders>
            <w:shd w:val="clear" w:color="auto" w:fill="auto"/>
            <w:noWrap/>
            <w:vAlign w:val="bottom"/>
            <w:hideMark/>
          </w:tcPr>
          <w:p w:rsidR="00836EDB" w:rsidRPr="00836EDB" w:rsidRDefault="00836EDB" w:rsidP="00836EDB">
            <w:pPr>
              <w:tabs>
                <w:tab w:val="clear" w:pos="284"/>
              </w:tabs>
              <w:spacing w:line="240" w:lineRule="auto"/>
              <w:rPr>
                <w:rFonts w:ascii="Arial" w:eastAsia="Times New Roman" w:hAnsi="Arial" w:cs="Arial"/>
                <w:color w:val="000000"/>
                <w:kern w:val="0"/>
                <w:lang w:eastAsia="en-GB"/>
              </w:rPr>
            </w:pPr>
            <w:r w:rsidRPr="00836EDB">
              <w:rPr>
                <w:rFonts w:ascii="Arial" w:eastAsia="Times New Roman" w:hAnsi="Arial" w:cs="Arial"/>
                <w:color w:val="000000"/>
                <w:kern w:val="0"/>
                <w:lang w:eastAsia="en-GB"/>
              </w:rPr>
              <w:t>Purpose-built block of flats or tenement</w:t>
            </w:r>
          </w:p>
        </w:tc>
        <w:tc>
          <w:tcPr>
            <w:tcW w:w="1301" w:type="dxa"/>
            <w:tcBorders>
              <w:top w:val="nil"/>
              <w:left w:val="nil"/>
              <w:bottom w:val="single" w:sz="4" w:space="0" w:color="auto"/>
              <w:right w:val="single" w:sz="4" w:space="0" w:color="auto"/>
            </w:tcBorders>
            <w:shd w:val="clear" w:color="auto" w:fill="auto"/>
            <w:noWrap/>
            <w:vAlign w:val="bottom"/>
            <w:hideMark/>
          </w:tcPr>
          <w:p w:rsidR="00836EDB" w:rsidRPr="00836EDB" w:rsidRDefault="00836EDB" w:rsidP="00836EDB">
            <w:pPr>
              <w:tabs>
                <w:tab w:val="clear" w:pos="284"/>
              </w:tabs>
              <w:spacing w:line="240" w:lineRule="auto"/>
              <w:jc w:val="right"/>
              <w:rPr>
                <w:rFonts w:ascii="Arial" w:eastAsia="Times New Roman" w:hAnsi="Arial" w:cs="Arial"/>
                <w:color w:val="000000"/>
                <w:kern w:val="0"/>
                <w:lang w:eastAsia="en-GB"/>
              </w:rPr>
            </w:pPr>
            <w:r w:rsidRPr="00836EDB">
              <w:rPr>
                <w:rFonts w:ascii="Arial" w:eastAsia="Times New Roman" w:hAnsi="Arial" w:cs="Arial"/>
                <w:color w:val="000000"/>
                <w:kern w:val="0"/>
                <w:lang w:eastAsia="en-GB"/>
              </w:rPr>
              <w:t>6.8%</w:t>
            </w:r>
          </w:p>
        </w:tc>
        <w:tc>
          <w:tcPr>
            <w:tcW w:w="1599" w:type="dxa"/>
            <w:tcBorders>
              <w:top w:val="nil"/>
              <w:left w:val="nil"/>
              <w:bottom w:val="single" w:sz="4" w:space="0" w:color="auto"/>
              <w:right w:val="single" w:sz="4" w:space="0" w:color="auto"/>
            </w:tcBorders>
            <w:shd w:val="clear" w:color="auto" w:fill="auto"/>
            <w:noWrap/>
            <w:vAlign w:val="bottom"/>
            <w:hideMark/>
          </w:tcPr>
          <w:p w:rsidR="00836EDB" w:rsidRPr="00836EDB" w:rsidRDefault="00836EDB" w:rsidP="00836EDB">
            <w:pPr>
              <w:tabs>
                <w:tab w:val="clear" w:pos="284"/>
              </w:tabs>
              <w:spacing w:line="240" w:lineRule="auto"/>
              <w:jc w:val="right"/>
              <w:rPr>
                <w:rFonts w:ascii="Arial" w:eastAsia="Times New Roman" w:hAnsi="Arial" w:cs="Arial"/>
                <w:color w:val="000000"/>
                <w:kern w:val="0"/>
                <w:lang w:eastAsia="en-GB"/>
              </w:rPr>
            </w:pPr>
            <w:r w:rsidRPr="00836EDB">
              <w:rPr>
                <w:rFonts w:ascii="Arial" w:eastAsia="Times New Roman" w:hAnsi="Arial" w:cs="Arial"/>
                <w:color w:val="000000"/>
                <w:kern w:val="0"/>
                <w:lang w:eastAsia="en-GB"/>
              </w:rPr>
              <w:t>12.9%</w:t>
            </w:r>
          </w:p>
        </w:tc>
        <w:tc>
          <w:tcPr>
            <w:tcW w:w="1302" w:type="dxa"/>
            <w:tcBorders>
              <w:top w:val="nil"/>
              <w:left w:val="nil"/>
              <w:bottom w:val="single" w:sz="4" w:space="0" w:color="auto"/>
              <w:right w:val="single" w:sz="8" w:space="0" w:color="auto"/>
            </w:tcBorders>
            <w:shd w:val="clear" w:color="auto" w:fill="auto"/>
            <w:noWrap/>
            <w:vAlign w:val="bottom"/>
            <w:hideMark/>
          </w:tcPr>
          <w:p w:rsidR="00836EDB" w:rsidRPr="00836EDB" w:rsidRDefault="00836EDB" w:rsidP="00836EDB">
            <w:pPr>
              <w:tabs>
                <w:tab w:val="clear" w:pos="284"/>
              </w:tabs>
              <w:spacing w:line="240" w:lineRule="auto"/>
              <w:jc w:val="right"/>
              <w:rPr>
                <w:rFonts w:ascii="Arial" w:eastAsia="Times New Roman" w:hAnsi="Arial" w:cs="Arial"/>
                <w:color w:val="000000"/>
                <w:kern w:val="0"/>
                <w:lang w:eastAsia="en-GB"/>
              </w:rPr>
            </w:pPr>
            <w:r w:rsidRPr="00836EDB">
              <w:rPr>
                <w:rFonts w:ascii="Arial" w:eastAsia="Times New Roman" w:hAnsi="Arial" w:cs="Arial"/>
                <w:color w:val="000000"/>
                <w:kern w:val="0"/>
                <w:lang w:eastAsia="en-GB"/>
              </w:rPr>
              <w:t>16.4%</w:t>
            </w:r>
          </w:p>
        </w:tc>
      </w:tr>
      <w:tr w:rsidR="00836EDB" w:rsidRPr="00836EDB" w:rsidTr="00836EDB">
        <w:trPr>
          <w:trHeight w:val="228"/>
        </w:trPr>
        <w:tc>
          <w:tcPr>
            <w:tcW w:w="2268" w:type="dxa"/>
            <w:tcBorders>
              <w:top w:val="nil"/>
              <w:left w:val="single" w:sz="8" w:space="0" w:color="auto"/>
              <w:bottom w:val="single" w:sz="4" w:space="0" w:color="auto"/>
              <w:right w:val="single" w:sz="4" w:space="0" w:color="auto"/>
            </w:tcBorders>
            <w:shd w:val="clear" w:color="auto" w:fill="auto"/>
            <w:noWrap/>
            <w:vAlign w:val="bottom"/>
            <w:hideMark/>
          </w:tcPr>
          <w:p w:rsidR="00836EDB" w:rsidRPr="00836EDB" w:rsidRDefault="00836EDB" w:rsidP="00836EDB">
            <w:pPr>
              <w:tabs>
                <w:tab w:val="clear" w:pos="284"/>
              </w:tabs>
              <w:spacing w:line="240" w:lineRule="auto"/>
              <w:rPr>
                <w:rFonts w:ascii="Arial" w:eastAsia="Times New Roman" w:hAnsi="Arial" w:cs="Arial"/>
                <w:color w:val="000000"/>
                <w:kern w:val="0"/>
                <w:lang w:eastAsia="en-GB"/>
              </w:rPr>
            </w:pPr>
            <w:r w:rsidRPr="00836EDB">
              <w:rPr>
                <w:rFonts w:ascii="Arial" w:eastAsia="Times New Roman" w:hAnsi="Arial" w:cs="Arial"/>
                <w:color w:val="000000"/>
                <w:kern w:val="0"/>
                <w:lang w:eastAsia="en-GB"/>
              </w:rPr>
              <w:t> </w:t>
            </w:r>
          </w:p>
        </w:tc>
        <w:tc>
          <w:tcPr>
            <w:tcW w:w="2910" w:type="dxa"/>
            <w:tcBorders>
              <w:top w:val="nil"/>
              <w:left w:val="nil"/>
              <w:bottom w:val="single" w:sz="4" w:space="0" w:color="auto"/>
              <w:right w:val="single" w:sz="4" w:space="0" w:color="auto"/>
            </w:tcBorders>
            <w:shd w:val="clear" w:color="auto" w:fill="auto"/>
            <w:noWrap/>
            <w:vAlign w:val="bottom"/>
            <w:hideMark/>
          </w:tcPr>
          <w:p w:rsidR="00836EDB" w:rsidRPr="00836EDB" w:rsidRDefault="00836EDB" w:rsidP="00836EDB">
            <w:pPr>
              <w:tabs>
                <w:tab w:val="clear" w:pos="284"/>
              </w:tabs>
              <w:spacing w:line="240" w:lineRule="auto"/>
              <w:rPr>
                <w:rFonts w:ascii="Arial" w:eastAsia="Times New Roman" w:hAnsi="Arial" w:cs="Arial"/>
                <w:color w:val="000000"/>
                <w:kern w:val="0"/>
                <w:lang w:eastAsia="en-GB"/>
              </w:rPr>
            </w:pPr>
            <w:r w:rsidRPr="00836EDB">
              <w:rPr>
                <w:rFonts w:ascii="Arial" w:eastAsia="Times New Roman" w:hAnsi="Arial" w:cs="Arial"/>
                <w:color w:val="000000"/>
                <w:kern w:val="0"/>
                <w:lang w:eastAsia="en-GB"/>
              </w:rPr>
              <w:t>Parts of a converted or shared house</w:t>
            </w:r>
          </w:p>
        </w:tc>
        <w:tc>
          <w:tcPr>
            <w:tcW w:w="1301" w:type="dxa"/>
            <w:tcBorders>
              <w:top w:val="nil"/>
              <w:left w:val="nil"/>
              <w:bottom w:val="single" w:sz="4" w:space="0" w:color="auto"/>
              <w:right w:val="single" w:sz="4" w:space="0" w:color="auto"/>
            </w:tcBorders>
            <w:shd w:val="clear" w:color="auto" w:fill="auto"/>
            <w:noWrap/>
            <w:vAlign w:val="bottom"/>
            <w:hideMark/>
          </w:tcPr>
          <w:p w:rsidR="00836EDB" w:rsidRPr="00836EDB" w:rsidRDefault="00836EDB" w:rsidP="00836EDB">
            <w:pPr>
              <w:tabs>
                <w:tab w:val="clear" w:pos="284"/>
              </w:tabs>
              <w:spacing w:line="240" w:lineRule="auto"/>
              <w:jc w:val="right"/>
              <w:rPr>
                <w:rFonts w:ascii="Arial" w:eastAsia="Times New Roman" w:hAnsi="Arial" w:cs="Arial"/>
                <w:color w:val="000000"/>
                <w:kern w:val="0"/>
                <w:lang w:eastAsia="en-GB"/>
              </w:rPr>
            </w:pPr>
            <w:r w:rsidRPr="00836EDB">
              <w:rPr>
                <w:rFonts w:ascii="Arial" w:eastAsia="Times New Roman" w:hAnsi="Arial" w:cs="Arial"/>
                <w:color w:val="000000"/>
                <w:kern w:val="0"/>
                <w:lang w:eastAsia="en-GB"/>
              </w:rPr>
              <w:t>0.9%</w:t>
            </w:r>
          </w:p>
        </w:tc>
        <w:tc>
          <w:tcPr>
            <w:tcW w:w="1599" w:type="dxa"/>
            <w:tcBorders>
              <w:top w:val="nil"/>
              <w:left w:val="nil"/>
              <w:bottom w:val="single" w:sz="4" w:space="0" w:color="auto"/>
              <w:right w:val="single" w:sz="4" w:space="0" w:color="auto"/>
            </w:tcBorders>
            <w:shd w:val="clear" w:color="auto" w:fill="auto"/>
            <w:noWrap/>
            <w:vAlign w:val="bottom"/>
            <w:hideMark/>
          </w:tcPr>
          <w:p w:rsidR="00836EDB" w:rsidRPr="00836EDB" w:rsidRDefault="00836EDB" w:rsidP="00836EDB">
            <w:pPr>
              <w:tabs>
                <w:tab w:val="clear" w:pos="284"/>
              </w:tabs>
              <w:spacing w:line="240" w:lineRule="auto"/>
              <w:jc w:val="right"/>
              <w:rPr>
                <w:rFonts w:ascii="Arial" w:eastAsia="Times New Roman" w:hAnsi="Arial" w:cs="Arial"/>
                <w:color w:val="000000"/>
                <w:kern w:val="0"/>
                <w:lang w:eastAsia="en-GB"/>
              </w:rPr>
            </w:pPr>
            <w:r w:rsidRPr="00836EDB">
              <w:rPr>
                <w:rFonts w:ascii="Arial" w:eastAsia="Times New Roman" w:hAnsi="Arial" w:cs="Arial"/>
                <w:color w:val="000000"/>
                <w:kern w:val="0"/>
                <w:lang w:eastAsia="en-GB"/>
              </w:rPr>
              <w:t>2.2%</w:t>
            </w:r>
          </w:p>
        </w:tc>
        <w:tc>
          <w:tcPr>
            <w:tcW w:w="1302" w:type="dxa"/>
            <w:tcBorders>
              <w:top w:val="nil"/>
              <w:left w:val="nil"/>
              <w:bottom w:val="single" w:sz="4" w:space="0" w:color="auto"/>
              <w:right w:val="single" w:sz="8" w:space="0" w:color="auto"/>
            </w:tcBorders>
            <w:shd w:val="clear" w:color="auto" w:fill="auto"/>
            <w:noWrap/>
            <w:vAlign w:val="bottom"/>
            <w:hideMark/>
          </w:tcPr>
          <w:p w:rsidR="00836EDB" w:rsidRPr="00836EDB" w:rsidRDefault="00836EDB" w:rsidP="00836EDB">
            <w:pPr>
              <w:tabs>
                <w:tab w:val="clear" w:pos="284"/>
              </w:tabs>
              <w:spacing w:line="240" w:lineRule="auto"/>
              <w:jc w:val="right"/>
              <w:rPr>
                <w:rFonts w:ascii="Arial" w:eastAsia="Times New Roman" w:hAnsi="Arial" w:cs="Arial"/>
                <w:color w:val="000000"/>
                <w:kern w:val="0"/>
                <w:lang w:eastAsia="en-GB"/>
              </w:rPr>
            </w:pPr>
            <w:r w:rsidRPr="00836EDB">
              <w:rPr>
                <w:rFonts w:ascii="Arial" w:eastAsia="Times New Roman" w:hAnsi="Arial" w:cs="Arial"/>
                <w:color w:val="000000"/>
                <w:kern w:val="0"/>
                <w:lang w:eastAsia="en-GB"/>
              </w:rPr>
              <w:t>3.8%</w:t>
            </w:r>
          </w:p>
        </w:tc>
      </w:tr>
      <w:tr w:rsidR="00836EDB" w:rsidRPr="00836EDB" w:rsidTr="00836EDB">
        <w:trPr>
          <w:trHeight w:val="240"/>
        </w:trPr>
        <w:tc>
          <w:tcPr>
            <w:tcW w:w="2268" w:type="dxa"/>
            <w:tcBorders>
              <w:top w:val="nil"/>
              <w:left w:val="single" w:sz="8" w:space="0" w:color="auto"/>
              <w:bottom w:val="single" w:sz="8" w:space="0" w:color="auto"/>
              <w:right w:val="single" w:sz="4" w:space="0" w:color="auto"/>
            </w:tcBorders>
            <w:shd w:val="clear" w:color="auto" w:fill="auto"/>
            <w:noWrap/>
            <w:vAlign w:val="bottom"/>
            <w:hideMark/>
          </w:tcPr>
          <w:p w:rsidR="00836EDB" w:rsidRPr="00836EDB" w:rsidRDefault="00836EDB" w:rsidP="00836EDB">
            <w:pPr>
              <w:tabs>
                <w:tab w:val="clear" w:pos="284"/>
              </w:tabs>
              <w:spacing w:line="240" w:lineRule="auto"/>
              <w:rPr>
                <w:rFonts w:ascii="Arial" w:eastAsia="Times New Roman" w:hAnsi="Arial" w:cs="Arial"/>
                <w:color w:val="000000"/>
                <w:kern w:val="0"/>
                <w:lang w:eastAsia="en-GB"/>
              </w:rPr>
            </w:pPr>
            <w:r w:rsidRPr="00836EDB">
              <w:rPr>
                <w:rFonts w:ascii="Arial" w:eastAsia="Times New Roman" w:hAnsi="Arial" w:cs="Arial"/>
                <w:color w:val="000000"/>
                <w:kern w:val="0"/>
                <w:lang w:eastAsia="en-GB"/>
              </w:rPr>
              <w:t> </w:t>
            </w:r>
          </w:p>
        </w:tc>
        <w:tc>
          <w:tcPr>
            <w:tcW w:w="2910" w:type="dxa"/>
            <w:tcBorders>
              <w:top w:val="nil"/>
              <w:left w:val="nil"/>
              <w:bottom w:val="single" w:sz="8" w:space="0" w:color="auto"/>
              <w:right w:val="single" w:sz="4" w:space="0" w:color="auto"/>
            </w:tcBorders>
            <w:shd w:val="clear" w:color="auto" w:fill="auto"/>
            <w:noWrap/>
            <w:vAlign w:val="bottom"/>
            <w:hideMark/>
          </w:tcPr>
          <w:p w:rsidR="00836EDB" w:rsidRPr="00836EDB" w:rsidRDefault="00836EDB" w:rsidP="00836EDB">
            <w:pPr>
              <w:tabs>
                <w:tab w:val="clear" w:pos="284"/>
              </w:tabs>
              <w:spacing w:line="240" w:lineRule="auto"/>
              <w:rPr>
                <w:rFonts w:ascii="Arial" w:eastAsia="Times New Roman" w:hAnsi="Arial" w:cs="Arial"/>
                <w:color w:val="000000"/>
                <w:kern w:val="0"/>
                <w:lang w:eastAsia="en-GB"/>
              </w:rPr>
            </w:pPr>
            <w:r w:rsidRPr="00836EDB">
              <w:rPr>
                <w:rFonts w:ascii="Arial" w:eastAsia="Times New Roman" w:hAnsi="Arial" w:cs="Arial"/>
                <w:color w:val="000000"/>
                <w:kern w:val="0"/>
                <w:lang w:eastAsia="en-GB"/>
              </w:rPr>
              <w:t>In commercial building</w:t>
            </w:r>
          </w:p>
        </w:tc>
        <w:tc>
          <w:tcPr>
            <w:tcW w:w="1301" w:type="dxa"/>
            <w:tcBorders>
              <w:top w:val="nil"/>
              <w:left w:val="nil"/>
              <w:bottom w:val="single" w:sz="8" w:space="0" w:color="auto"/>
              <w:right w:val="single" w:sz="4" w:space="0" w:color="auto"/>
            </w:tcBorders>
            <w:shd w:val="clear" w:color="auto" w:fill="auto"/>
            <w:noWrap/>
            <w:vAlign w:val="bottom"/>
            <w:hideMark/>
          </w:tcPr>
          <w:p w:rsidR="00836EDB" w:rsidRPr="00836EDB" w:rsidRDefault="00836EDB" w:rsidP="00836EDB">
            <w:pPr>
              <w:tabs>
                <w:tab w:val="clear" w:pos="284"/>
              </w:tabs>
              <w:spacing w:line="240" w:lineRule="auto"/>
              <w:jc w:val="right"/>
              <w:rPr>
                <w:rFonts w:ascii="Arial" w:eastAsia="Times New Roman" w:hAnsi="Arial" w:cs="Arial"/>
                <w:color w:val="000000"/>
                <w:kern w:val="0"/>
                <w:lang w:eastAsia="en-GB"/>
              </w:rPr>
            </w:pPr>
            <w:r w:rsidRPr="00836EDB">
              <w:rPr>
                <w:rFonts w:ascii="Arial" w:eastAsia="Times New Roman" w:hAnsi="Arial" w:cs="Arial"/>
                <w:color w:val="000000"/>
                <w:kern w:val="0"/>
                <w:lang w:eastAsia="en-GB"/>
              </w:rPr>
              <w:t>0.7%</w:t>
            </w:r>
          </w:p>
        </w:tc>
        <w:tc>
          <w:tcPr>
            <w:tcW w:w="1599" w:type="dxa"/>
            <w:tcBorders>
              <w:top w:val="nil"/>
              <w:left w:val="nil"/>
              <w:bottom w:val="single" w:sz="8" w:space="0" w:color="auto"/>
              <w:right w:val="single" w:sz="4" w:space="0" w:color="auto"/>
            </w:tcBorders>
            <w:shd w:val="clear" w:color="auto" w:fill="auto"/>
            <w:noWrap/>
            <w:vAlign w:val="bottom"/>
            <w:hideMark/>
          </w:tcPr>
          <w:p w:rsidR="00836EDB" w:rsidRPr="00836EDB" w:rsidRDefault="00836EDB" w:rsidP="00836EDB">
            <w:pPr>
              <w:tabs>
                <w:tab w:val="clear" w:pos="284"/>
              </w:tabs>
              <w:spacing w:line="240" w:lineRule="auto"/>
              <w:jc w:val="right"/>
              <w:rPr>
                <w:rFonts w:ascii="Arial" w:eastAsia="Times New Roman" w:hAnsi="Arial" w:cs="Arial"/>
                <w:color w:val="000000"/>
                <w:kern w:val="0"/>
                <w:lang w:eastAsia="en-GB"/>
              </w:rPr>
            </w:pPr>
            <w:r w:rsidRPr="00836EDB">
              <w:rPr>
                <w:rFonts w:ascii="Arial" w:eastAsia="Times New Roman" w:hAnsi="Arial" w:cs="Arial"/>
                <w:color w:val="000000"/>
                <w:kern w:val="0"/>
                <w:lang w:eastAsia="en-GB"/>
              </w:rPr>
              <w:t>1.0%</w:t>
            </w:r>
          </w:p>
        </w:tc>
        <w:tc>
          <w:tcPr>
            <w:tcW w:w="1302" w:type="dxa"/>
            <w:tcBorders>
              <w:top w:val="nil"/>
              <w:left w:val="nil"/>
              <w:bottom w:val="single" w:sz="8" w:space="0" w:color="auto"/>
              <w:right w:val="single" w:sz="8" w:space="0" w:color="auto"/>
            </w:tcBorders>
            <w:shd w:val="clear" w:color="auto" w:fill="auto"/>
            <w:noWrap/>
            <w:vAlign w:val="bottom"/>
            <w:hideMark/>
          </w:tcPr>
          <w:p w:rsidR="00836EDB" w:rsidRPr="00836EDB" w:rsidRDefault="00836EDB" w:rsidP="00836EDB">
            <w:pPr>
              <w:tabs>
                <w:tab w:val="clear" w:pos="284"/>
              </w:tabs>
              <w:spacing w:line="240" w:lineRule="auto"/>
              <w:jc w:val="right"/>
              <w:rPr>
                <w:rFonts w:ascii="Arial" w:eastAsia="Times New Roman" w:hAnsi="Arial" w:cs="Arial"/>
                <w:color w:val="000000"/>
                <w:kern w:val="0"/>
                <w:lang w:eastAsia="en-GB"/>
              </w:rPr>
            </w:pPr>
            <w:r w:rsidRPr="00836EDB">
              <w:rPr>
                <w:rFonts w:ascii="Arial" w:eastAsia="Times New Roman" w:hAnsi="Arial" w:cs="Arial"/>
                <w:color w:val="000000"/>
                <w:kern w:val="0"/>
                <w:lang w:eastAsia="en-GB"/>
              </w:rPr>
              <w:t>1.0%</w:t>
            </w:r>
          </w:p>
        </w:tc>
      </w:tr>
    </w:tbl>
    <w:p w:rsidR="00836EDB" w:rsidRPr="00836EDB" w:rsidRDefault="00836EDB" w:rsidP="00B90B1C">
      <w:pPr>
        <w:pStyle w:val="BodyText"/>
        <w:rPr>
          <w:bCs/>
          <w:i/>
          <w:iCs/>
          <w:color w:val="000000" w:themeColor="text1"/>
          <w:lang w:val="en-US"/>
        </w:rPr>
      </w:pPr>
      <w:r w:rsidRPr="00836EDB">
        <w:rPr>
          <w:bCs/>
          <w:i/>
          <w:iCs/>
          <w:color w:val="000000" w:themeColor="text1"/>
          <w:lang w:val="en-US"/>
        </w:rPr>
        <w:t xml:space="preserve">Source: Census 2011, AECOM Calculations </w:t>
      </w:r>
    </w:p>
    <w:p w:rsidR="002B27AA" w:rsidRDefault="00A258B5" w:rsidP="00A258B5">
      <w:pPr>
        <w:pStyle w:val="ListNumber"/>
        <w:rPr>
          <w:lang w:val="en-US"/>
        </w:rPr>
      </w:pPr>
      <w:r>
        <w:rPr>
          <w:lang w:val="en-US"/>
        </w:rPr>
        <w:t>In Table 15</w:t>
      </w:r>
      <w:r w:rsidR="003D18C8" w:rsidRPr="003D18C8">
        <w:rPr>
          <w:lang w:val="en-US"/>
        </w:rPr>
        <w:t xml:space="preserve"> below </w:t>
      </w:r>
      <w:r w:rsidR="003D18C8">
        <w:rPr>
          <w:lang w:val="en-US"/>
        </w:rPr>
        <w:t xml:space="preserve">we note the change in the distribution of dwellings according to size over the inter-censual period; this should be </w:t>
      </w:r>
      <w:r w:rsidR="00DC7A83">
        <w:rPr>
          <w:lang w:val="en-US"/>
        </w:rPr>
        <w:t xml:space="preserve">read in conjunction with Table 14above </w:t>
      </w:r>
      <w:r w:rsidR="003D18C8">
        <w:rPr>
          <w:lang w:val="en-US"/>
        </w:rPr>
        <w:t xml:space="preserve">that provides the percentage changes. This shows more clearly where the changes have arisen. </w:t>
      </w:r>
    </w:p>
    <w:p w:rsidR="00836EDB" w:rsidRDefault="00DC7A83" w:rsidP="00A258B5">
      <w:pPr>
        <w:pStyle w:val="ListNumber"/>
        <w:rPr>
          <w:lang w:val="en-US"/>
        </w:rPr>
      </w:pPr>
      <w:r>
        <w:rPr>
          <w:lang w:val="en-US"/>
        </w:rPr>
        <w:t>Table 15</w:t>
      </w:r>
      <w:r w:rsidR="00E838D9">
        <w:rPr>
          <w:lang w:val="en-US"/>
        </w:rPr>
        <w:t xml:space="preserve"> shows the change in numerical terms and reveals that, </w:t>
      </w:r>
      <w:r w:rsidR="002B27AA">
        <w:rPr>
          <w:lang w:val="en-US"/>
        </w:rPr>
        <w:t>during this</w:t>
      </w:r>
      <w:r w:rsidR="00E838D9">
        <w:rPr>
          <w:lang w:val="en-US"/>
        </w:rPr>
        <w:t xml:space="preserve"> period, the number of households living in </w:t>
      </w:r>
      <w:r w:rsidR="00E838D9" w:rsidRPr="00E838D9">
        <w:rPr>
          <w:lang w:val="en-US"/>
        </w:rPr>
        <w:t xml:space="preserve">small dwellings sized between 1 and 3 habitable rooms </w:t>
      </w:r>
      <w:r w:rsidR="00E838D9">
        <w:rPr>
          <w:lang w:val="en-US"/>
        </w:rPr>
        <w:t xml:space="preserve">increased by 30, in </w:t>
      </w:r>
      <w:r w:rsidR="00E838D9" w:rsidRPr="00E838D9">
        <w:rPr>
          <w:lang w:val="en-US"/>
        </w:rPr>
        <w:t>larger family homes of 6 habitable rooms or more</w:t>
      </w:r>
      <w:r w:rsidR="00E838D9">
        <w:rPr>
          <w:lang w:val="en-US"/>
        </w:rPr>
        <w:t xml:space="preserve"> by 64</w:t>
      </w:r>
      <w:r w:rsidR="00E838D9" w:rsidRPr="00E838D9">
        <w:rPr>
          <w:lang w:val="en-US"/>
        </w:rPr>
        <w:t xml:space="preserve">, but 78 </w:t>
      </w:r>
      <w:r w:rsidR="00E838D9">
        <w:rPr>
          <w:lang w:val="en-US"/>
        </w:rPr>
        <w:t xml:space="preserve">fewer households were occupying </w:t>
      </w:r>
      <w:r w:rsidR="00E838D9" w:rsidRPr="00E838D9">
        <w:rPr>
          <w:lang w:val="en-US"/>
        </w:rPr>
        <w:t>dwellings of medium size (4-5 habitable rooms). Overall, in 2011, only 4% of households were living in small dwellings, the balance was split between medium sized and large dwellings, with 30% of households living in the former and 44% in the latter.</w:t>
      </w:r>
    </w:p>
    <w:p w:rsidR="00BF22EF" w:rsidRDefault="00BF22EF" w:rsidP="00A258B5">
      <w:pPr>
        <w:pStyle w:val="ListNumber"/>
        <w:rPr>
          <w:lang w:val="en-US"/>
        </w:rPr>
      </w:pPr>
      <w:r>
        <w:rPr>
          <w:lang w:val="en-US"/>
        </w:rPr>
        <w:t xml:space="preserve">It is possible to use this data as a proxy for the distribution of size of dwellings across the NPA; firstly, there are very few small dwellings, this must lead us to query whether the housing stock is suited to community need given </w:t>
      </w:r>
      <w:proofErr w:type="spellStart"/>
      <w:r>
        <w:rPr>
          <w:lang w:val="en-US"/>
        </w:rPr>
        <w:t>given</w:t>
      </w:r>
      <w:proofErr w:type="spellEnd"/>
      <w:r>
        <w:rPr>
          <w:lang w:val="en-US"/>
        </w:rPr>
        <w:t xml:space="preserve"> the changes that have been observed over the inter-censual period, in particular the growth in one person households. </w:t>
      </w:r>
    </w:p>
    <w:p w:rsidR="00BF22EF" w:rsidRDefault="00BF22EF" w:rsidP="00A258B5">
      <w:pPr>
        <w:pStyle w:val="ListNumber"/>
        <w:rPr>
          <w:lang w:val="en-US"/>
        </w:rPr>
      </w:pPr>
      <w:r>
        <w:rPr>
          <w:lang w:val="en-US"/>
        </w:rPr>
        <w:t xml:space="preserve">Bearing in mind the </w:t>
      </w:r>
      <w:r w:rsidR="00591B3F">
        <w:rPr>
          <w:lang w:val="en-US"/>
        </w:rPr>
        <w:t>preponderance</w:t>
      </w:r>
      <w:r>
        <w:rPr>
          <w:lang w:val="en-US"/>
        </w:rPr>
        <w:t xml:space="preserve"> of detached dwellings, the </w:t>
      </w:r>
      <w:r w:rsidR="00591B3F">
        <w:rPr>
          <w:lang w:val="en-US"/>
        </w:rPr>
        <w:t>fact that larger dwellings constitute the greatest minority within the housing stock (44%) has</w:t>
      </w:r>
      <w:r>
        <w:rPr>
          <w:lang w:val="en-US"/>
        </w:rPr>
        <w:t xml:space="preserve"> implications for affordability. Land Registry price paid data </w:t>
      </w:r>
      <w:r w:rsidR="00591B3F">
        <w:rPr>
          <w:lang w:val="en-US"/>
        </w:rPr>
        <w:t xml:space="preserve">suggests the average price for a detached dwelling in West </w:t>
      </w:r>
      <w:proofErr w:type="spellStart"/>
      <w:r w:rsidR="00591B3F">
        <w:rPr>
          <w:lang w:val="en-US"/>
        </w:rPr>
        <w:t>Wittering</w:t>
      </w:r>
      <w:proofErr w:type="spellEnd"/>
      <w:r w:rsidR="00591B3F">
        <w:rPr>
          <w:lang w:val="en-US"/>
        </w:rPr>
        <w:t xml:space="preserve"> in 2016 was £664,593. The </w:t>
      </w:r>
      <w:r w:rsidR="00792AAF">
        <w:rPr>
          <w:lang w:val="en-US"/>
        </w:rPr>
        <w:t>‘</w:t>
      </w:r>
      <w:r w:rsidR="00591B3F">
        <w:rPr>
          <w:lang w:val="en-US"/>
        </w:rPr>
        <w:t>purchase threshold</w:t>
      </w:r>
      <w:r w:rsidR="00792AAF">
        <w:rPr>
          <w:lang w:val="en-US"/>
        </w:rPr>
        <w:t>’</w:t>
      </w:r>
      <w:r w:rsidR="00591B3F">
        <w:rPr>
          <w:lang w:val="en-US"/>
        </w:rPr>
        <w:t xml:space="preserve"> for a dwelling of this size </w:t>
      </w:r>
      <w:r w:rsidR="002B27AA">
        <w:rPr>
          <w:lang w:val="en-US"/>
        </w:rPr>
        <w:t>would be</w:t>
      </w:r>
      <w:r w:rsidR="00591B3F">
        <w:rPr>
          <w:lang w:val="en-US"/>
        </w:rPr>
        <w:t xml:space="preserve"> £170,895. This suggests a large proportion of all dwellings in West </w:t>
      </w:r>
      <w:proofErr w:type="spellStart"/>
      <w:r w:rsidR="00591B3F">
        <w:rPr>
          <w:lang w:val="en-US"/>
        </w:rPr>
        <w:t>Wittering</w:t>
      </w:r>
      <w:proofErr w:type="spellEnd"/>
      <w:r w:rsidR="00591B3F">
        <w:rPr>
          <w:lang w:val="en-US"/>
        </w:rPr>
        <w:t xml:space="preserve"> are well beyond the means of those on average </w:t>
      </w:r>
      <w:proofErr w:type="gramStart"/>
      <w:r w:rsidR="00591B3F">
        <w:rPr>
          <w:lang w:val="en-US"/>
        </w:rPr>
        <w:t>households</w:t>
      </w:r>
      <w:proofErr w:type="gramEnd"/>
      <w:r w:rsidR="00591B3F">
        <w:rPr>
          <w:lang w:val="en-US"/>
        </w:rPr>
        <w:t xml:space="preserve"> incomes. </w:t>
      </w:r>
    </w:p>
    <w:p w:rsidR="00A258B5" w:rsidRDefault="00A258B5">
      <w:pPr>
        <w:tabs>
          <w:tab w:val="clear" w:pos="284"/>
        </w:tabs>
        <w:spacing w:line="240" w:lineRule="auto"/>
        <w:rPr>
          <w:rFonts w:asciiTheme="majorHAnsi" w:hAnsiTheme="majorHAnsi"/>
          <w:b/>
          <w:bCs/>
          <w:color w:val="00B5E2" w:themeColor="accent1"/>
          <w:sz w:val="20"/>
        </w:rPr>
      </w:pPr>
      <w:r>
        <w:br w:type="page"/>
      </w:r>
    </w:p>
    <w:p w:rsidR="00A258B5" w:rsidRDefault="00A258B5" w:rsidP="00A258B5">
      <w:pPr>
        <w:pStyle w:val="Caption"/>
      </w:pPr>
      <w:r>
        <w:lastRenderedPageBreak/>
        <w:t xml:space="preserve">Table </w:t>
      </w:r>
      <w:fldSimple w:instr=" SEQ Table \* ARABIC ">
        <w:r w:rsidR="00B25544">
          <w:rPr>
            <w:noProof/>
          </w:rPr>
          <w:t>15</w:t>
        </w:r>
      </w:fldSimple>
      <w:r>
        <w:t xml:space="preserve">: </w:t>
      </w:r>
      <w:r w:rsidRPr="003B1D84">
        <w:t>Rates of change in number of rooms per household in West Wittering, 2001-2011</w:t>
      </w:r>
    </w:p>
    <w:tbl>
      <w:tblPr>
        <w:tblW w:w="8820" w:type="dxa"/>
        <w:tblInd w:w="98" w:type="dxa"/>
        <w:tblLook w:val="04A0" w:firstRow="1" w:lastRow="0" w:firstColumn="1" w:lastColumn="0" w:noHBand="0" w:noVBand="1"/>
      </w:tblPr>
      <w:tblGrid>
        <w:gridCol w:w="2600"/>
        <w:gridCol w:w="1900"/>
        <w:gridCol w:w="1460"/>
        <w:gridCol w:w="1460"/>
        <w:gridCol w:w="1400"/>
      </w:tblGrid>
      <w:tr w:rsidR="003D18C8" w:rsidRPr="003D18C8" w:rsidTr="003D18C8">
        <w:trPr>
          <w:trHeight w:val="240"/>
        </w:trPr>
        <w:tc>
          <w:tcPr>
            <w:tcW w:w="2600"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3D18C8" w:rsidRPr="003D18C8" w:rsidRDefault="003D18C8" w:rsidP="003D18C8">
            <w:pPr>
              <w:tabs>
                <w:tab w:val="clear" w:pos="284"/>
              </w:tabs>
              <w:spacing w:line="240" w:lineRule="auto"/>
              <w:rPr>
                <w:rFonts w:ascii="Arial" w:eastAsia="Times New Roman" w:hAnsi="Arial" w:cs="Arial"/>
                <w:color w:val="000000"/>
                <w:kern w:val="0"/>
                <w:lang w:eastAsia="en-GB"/>
              </w:rPr>
            </w:pPr>
            <w:r w:rsidRPr="003D18C8">
              <w:rPr>
                <w:rFonts w:ascii="Arial" w:eastAsia="Times New Roman" w:hAnsi="Arial" w:cs="Arial"/>
                <w:color w:val="000000"/>
                <w:kern w:val="0"/>
                <w:lang w:eastAsia="en-GB"/>
              </w:rPr>
              <w:t> </w:t>
            </w:r>
          </w:p>
        </w:tc>
        <w:tc>
          <w:tcPr>
            <w:tcW w:w="1900" w:type="dxa"/>
            <w:tcBorders>
              <w:top w:val="single" w:sz="8" w:space="0" w:color="auto"/>
              <w:left w:val="nil"/>
              <w:bottom w:val="single" w:sz="4" w:space="0" w:color="auto"/>
              <w:right w:val="single" w:sz="4" w:space="0" w:color="auto"/>
            </w:tcBorders>
            <w:shd w:val="clear" w:color="auto" w:fill="auto"/>
            <w:noWrap/>
            <w:vAlign w:val="bottom"/>
            <w:hideMark/>
          </w:tcPr>
          <w:p w:rsidR="003D18C8" w:rsidRPr="003D18C8" w:rsidRDefault="003D18C8" w:rsidP="003D18C8">
            <w:pPr>
              <w:tabs>
                <w:tab w:val="clear" w:pos="284"/>
              </w:tabs>
              <w:spacing w:line="240" w:lineRule="auto"/>
              <w:jc w:val="right"/>
              <w:rPr>
                <w:rFonts w:ascii="Arial" w:eastAsia="Times New Roman" w:hAnsi="Arial" w:cs="Arial"/>
                <w:b/>
                <w:bCs/>
                <w:color w:val="000000"/>
                <w:kern w:val="0"/>
                <w:lang w:eastAsia="en-GB"/>
              </w:rPr>
            </w:pPr>
            <w:r w:rsidRPr="003D18C8">
              <w:rPr>
                <w:rFonts w:ascii="Arial" w:eastAsia="Times New Roman" w:hAnsi="Arial" w:cs="Arial"/>
                <w:b/>
                <w:bCs/>
                <w:color w:val="000000"/>
                <w:kern w:val="0"/>
                <w:lang w:eastAsia="en-GB"/>
              </w:rPr>
              <w:t>2001</w:t>
            </w:r>
          </w:p>
        </w:tc>
        <w:tc>
          <w:tcPr>
            <w:tcW w:w="1460" w:type="dxa"/>
            <w:tcBorders>
              <w:top w:val="single" w:sz="8" w:space="0" w:color="auto"/>
              <w:left w:val="nil"/>
              <w:bottom w:val="single" w:sz="4" w:space="0" w:color="auto"/>
              <w:right w:val="single" w:sz="4" w:space="0" w:color="auto"/>
            </w:tcBorders>
            <w:shd w:val="clear" w:color="auto" w:fill="auto"/>
            <w:noWrap/>
            <w:vAlign w:val="bottom"/>
            <w:hideMark/>
          </w:tcPr>
          <w:p w:rsidR="003D18C8" w:rsidRPr="003D18C8" w:rsidRDefault="003D18C8" w:rsidP="003D18C8">
            <w:pPr>
              <w:tabs>
                <w:tab w:val="clear" w:pos="284"/>
              </w:tabs>
              <w:spacing w:line="240" w:lineRule="auto"/>
              <w:jc w:val="right"/>
              <w:rPr>
                <w:rFonts w:ascii="Arial" w:eastAsia="Times New Roman" w:hAnsi="Arial" w:cs="Arial"/>
                <w:b/>
                <w:bCs/>
                <w:color w:val="000000"/>
                <w:kern w:val="0"/>
                <w:lang w:eastAsia="en-GB"/>
              </w:rPr>
            </w:pPr>
            <w:r w:rsidRPr="003D18C8">
              <w:rPr>
                <w:rFonts w:ascii="Arial" w:eastAsia="Times New Roman" w:hAnsi="Arial" w:cs="Arial"/>
                <w:b/>
                <w:bCs/>
                <w:color w:val="000000"/>
                <w:kern w:val="0"/>
                <w:lang w:eastAsia="en-GB"/>
              </w:rPr>
              <w:t>2001</w:t>
            </w:r>
          </w:p>
        </w:tc>
        <w:tc>
          <w:tcPr>
            <w:tcW w:w="1460" w:type="dxa"/>
            <w:tcBorders>
              <w:top w:val="single" w:sz="8" w:space="0" w:color="auto"/>
              <w:left w:val="nil"/>
              <w:bottom w:val="single" w:sz="4" w:space="0" w:color="auto"/>
              <w:right w:val="single" w:sz="4" w:space="0" w:color="auto"/>
            </w:tcBorders>
            <w:shd w:val="clear" w:color="auto" w:fill="auto"/>
            <w:noWrap/>
            <w:vAlign w:val="bottom"/>
            <w:hideMark/>
          </w:tcPr>
          <w:p w:rsidR="003D18C8" w:rsidRPr="003D18C8" w:rsidRDefault="003D18C8" w:rsidP="003D18C8">
            <w:pPr>
              <w:tabs>
                <w:tab w:val="clear" w:pos="284"/>
              </w:tabs>
              <w:spacing w:line="240" w:lineRule="auto"/>
              <w:jc w:val="right"/>
              <w:rPr>
                <w:rFonts w:ascii="Arial" w:eastAsia="Times New Roman" w:hAnsi="Arial" w:cs="Arial"/>
                <w:b/>
                <w:bCs/>
                <w:color w:val="000000"/>
                <w:kern w:val="0"/>
                <w:lang w:eastAsia="en-GB"/>
              </w:rPr>
            </w:pPr>
            <w:r w:rsidRPr="003D18C8">
              <w:rPr>
                <w:rFonts w:ascii="Arial" w:eastAsia="Times New Roman" w:hAnsi="Arial" w:cs="Arial"/>
                <w:b/>
                <w:bCs/>
                <w:color w:val="000000"/>
                <w:kern w:val="0"/>
                <w:lang w:eastAsia="en-GB"/>
              </w:rPr>
              <w:t>2011</w:t>
            </w:r>
          </w:p>
        </w:tc>
        <w:tc>
          <w:tcPr>
            <w:tcW w:w="1400" w:type="dxa"/>
            <w:tcBorders>
              <w:top w:val="single" w:sz="8" w:space="0" w:color="auto"/>
              <w:left w:val="nil"/>
              <w:bottom w:val="single" w:sz="4" w:space="0" w:color="auto"/>
              <w:right w:val="single" w:sz="8" w:space="0" w:color="auto"/>
            </w:tcBorders>
            <w:shd w:val="clear" w:color="auto" w:fill="auto"/>
            <w:noWrap/>
            <w:vAlign w:val="bottom"/>
            <w:hideMark/>
          </w:tcPr>
          <w:p w:rsidR="003D18C8" w:rsidRPr="003D18C8" w:rsidRDefault="003D18C8" w:rsidP="003D18C8">
            <w:pPr>
              <w:tabs>
                <w:tab w:val="clear" w:pos="284"/>
              </w:tabs>
              <w:spacing w:line="240" w:lineRule="auto"/>
              <w:jc w:val="right"/>
              <w:rPr>
                <w:rFonts w:ascii="Arial" w:eastAsia="Times New Roman" w:hAnsi="Arial" w:cs="Arial"/>
                <w:b/>
                <w:bCs/>
                <w:color w:val="000000"/>
                <w:kern w:val="0"/>
                <w:lang w:eastAsia="en-GB"/>
              </w:rPr>
            </w:pPr>
            <w:r w:rsidRPr="003D18C8">
              <w:rPr>
                <w:rFonts w:ascii="Arial" w:eastAsia="Times New Roman" w:hAnsi="Arial" w:cs="Arial"/>
                <w:b/>
                <w:bCs/>
                <w:color w:val="000000"/>
                <w:kern w:val="0"/>
                <w:lang w:eastAsia="en-GB"/>
              </w:rPr>
              <w:t>2011</w:t>
            </w:r>
          </w:p>
        </w:tc>
      </w:tr>
      <w:tr w:rsidR="003D18C8" w:rsidRPr="003D18C8" w:rsidTr="003D18C8">
        <w:trPr>
          <w:trHeight w:val="240"/>
        </w:trPr>
        <w:tc>
          <w:tcPr>
            <w:tcW w:w="2600" w:type="dxa"/>
            <w:tcBorders>
              <w:top w:val="nil"/>
              <w:left w:val="single" w:sz="8" w:space="0" w:color="auto"/>
              <w:bottom w:val="single" w:sz="4" w:space="0" w:color="auto"/>
              <w:right w:val="single" w:sz="4" w:space="0" w:color="auto"/>
            </w:tcBorders>
            <w:shd w:val="clear" w:color="auto" w:fill="auto"/>
            <w:noWrap/>
            <w:vAlign w:val="bottom"/>
            <w:hideMark/>
          </w:tcPr>
          <w:p w:rsidR="003D18C8" w:rsidRPr="003D18C8" w:rsidRDefault="003D18C8" w:rsidP="003D18C8">
            <w:pPr>
              <w:tabs>
                <w:tab w:val="clear" w:pos="284"/>
              </w:tabs>
              <w:spacing w:line="240" w:lineRule="auto"/>
              <w:rPr>
                <w:rFonts w:ascii="Arial" w:eastAsia="Times New Roman" w:hAnsi="Arial" w:cs="Arial"/>
                <w:b/>
                <w:bCs/>
                <w:color w:val="000000"/>
                <w:kern w:val="0"/>
                <w:lang w:eastAsia="en-GB"/>
              </w:rPr>
            </w:pPr>
            <w:r w:rsidRPr="003D18C8">
              <w:rPr>
                <w:rFonts w:ascii="Arial" w:eastAsia="Times New Roman" w:hAnsi="Arial" w:cs="Arial"/>
                <w:b/>
                <w:bCs/>
                <w:color w:val="000000"/>
                <w:kern w:val="0"/>
                <w:lang w:eastAsia="en-GB"/>
              </w:rPr>
              <w:t>Number of Rooms</w:t>
            </w:r>
          </w:p>
        </w:tc>
        <w:tc>
          <w:tcPr>
            <w:tcW w:w="1900" w:type="dxa"/>
            <w:tcBorders>
              <w:top w:val="nil"/>
              <w:left w:val="nil"/>
              <w:bottom w:val="single" w:sz="4" w:space="0" w:color="auto"/>
              <w:right w:val="single" w:sz="4" w:space="0" w:color="auto"/>
            </w:tcBorders>
            <w:shd w:val="clear" w:color="auto" w:fill="auto"/>
            <w:noWrap/>
            <w:vAlign w:val="bottom"/>
            <w:hideMark/>
          </w:tcPr>
          <w:p w:rsidR="003D18C8" w:rsidRPr="003D18C8" w:rsidRDefault="003D18C8" w:rsidP="003D18C8">
            <w:pPr>
              <w:tabs>
                <w:tab w:val="clear" w:pos="284"/>
              </w:tabs>
              <w:spacing w:line="240" w:lineRule="auto"/>
              <w:rPr>
                <w:rFonts w:ascii="Arial" w:eastAsia="Times New Roman" w:hAnsi="Arial" w:cs="Arial"/>
                <w:b/>
                <w:bCs/>
                <w:color w:val="000000"/>
                <w:kern w:val="0"/>
                <w:lang w:eastAsia="en-GB"/>
              </w:rPr>
            </w:pPr>
            <w:r w:rsidRPr="003D18C8">
              <w:rPr>
                <w:rFonts w:ascii="Arial" w:eastAsia="Times New Roman" w:hAnsi="Arial" w:cs="Arial"/>
                <w:b/>
                <w:bCs/>
                <w:color w:val="000000"/>
                <w:kern w:val="0"/>
                <w:lang w:eastAsia="en-GB"/>
              </w:rPr>
              <w:t>West Wittering</w:t>
            </w:r>
          </w:p>
        </w:tc>
        <w:tc>
          <w:tcPr>
            <w:tcW w:w="1460" w:type="dxa"/>
            <w:tcBorders>
              <w:top w:val="nil"/>
              <w:left w:val="nil"/>
              <w:bottom w:val="single" w:sz="4" w:space="0" w:color="auto"/>
              <w:right w:val="single" w:sz="4" w:space="0" w:color="auto"/>
            </w:tcBorders>
            <w:shd w:val="clear" w:color="auto" w:fill="auto"/>
            <w:noWrap/>
            <w:vAlign w:val="bottom"/>
            <w:hideMark/>
          </w:tcPr>
          <w:p w:rsidR="003D18C8" w:rsidRPr="003D18C8" w:rsidRDefault="003D18C8" w:rsidP="003D18C8">
            <w:pPr>
              <w:tabs>
                <w:tab w:val="clear" w:pos="284"/>
              </w:tabs>
              <w:spacing w:line="240" w:lineRule="auto"/>
              <w:rPr>
                <w:rFonts w:ascii="Arial" w:eastAsia="Times New Roman" w:hAnsi="Arial" w:cs="Arial"/>
                <w:b/>
                <w:bCs/>
                <w:color w:val="000000"/>
                <w:kern w:val="0"/>
                <w:lang w:eastAsia="en-GB"/>
              </w:rPr>
            </w:pPr>
            <w:r w:rsidRPr="003D18C8">
              <w:rPr>
                <w:rFonts w:ascii="Arial" w:eastAsia="Times New Roman" w:hAnsi="Arial" w:cs="Arial"/>
                <w:b/>
                <w:bCs/>
                <w:color w:val="000000"/>
                <w:kern w:val="0"/>
                <w:lang w:eastAsia="en-GB"/>
              </w:rPr>
              <w:t>Chichester</w:t>
            </w:r>
          </w:p>
        </w:tc>
        <w:tc>
          <w:tcPr>
            <w:tcW w:w="1460" w:type="dxa"/>
            <w:tcBorders>
              <w:top w:val="nil"/>
              <w:left w:val="nil"/>
              <w:bottom w:val="single" w:sz="4" w:space="0" w:color="auto"/>
              <w:right w:val="single" w:sz="4" w:space="0" w:color="auto"/>
            </w:tcBorders>
            <w:shd w:val="clear" w:color="auto" w:fill="auto"/>
            <w:noWrap/>
            <w:vAlign w:val="bottom"/>
            <w:hideMark/>
          </w:tcPr>
          <w:p w:rsidR="003D18C8" w:rsidRPr="003D18C8" w:rsidRDefault="003D18C8" w:rsidP="003D18C8">
            <w:pPr>
              <w:tabs>
                <w:tab w:val="clear" w:pos="284"/>
              </w:tabs>
              <w:spacing w:line="240" w:lineRule="auto"/>
              <w:rPr>
                <w:rFonts w:ascii="Arial" w:eastAsia="Times New Roman" w:hAnsi="Arial" w:cs="Arial"/>
                <w:b/>
                <w:bCs/>
                <w:color w:val="000000"/>
                <w:kern w:val="0"/>
                <w:lang w:eastAsia="en-GB"/>
              </w:rPr>
            </w:pPr>
            <w:r w:rsidRPr="003D18C8">
              <w:rPr>
                <w:rFonts w:ascii="Arial" w:eastAsia="Times New Roman" w:hAnsi="Arial" w:cs="Arial"/>
                <w:b/>
                <w:bCs/>
                <w:color w:val="000000"/>
                <w:kern w:val="0"/>
                <w:lang w:eastAsia="en-GB"/>
              </w:rPr>
              <w:t>West Wittering</w:t>
            </w:r>
          </w:p>
        </w:tc>
        <w:tc>
          <w:tcPr>
            <w:tcW w:w="1400" w:type="dxa"/>
            <w:tcBorders>
              <w:top w:val="nil"/>
              <w:left w:val="nil"/>
              <w:bottom w:val="single" w:sz="4" w:space="0" w:color="auto"/>
              <w:right w:val="single" w:sz="8" w:space="0" w:color="auto"/>
            </w:tcBorders>
            <w:shd w:val="clear" w:color="auto" w:fill="auto"/>
            <w:noWrap/>
            <w:vAlign w:val="bottom"/>
            <w:hideMark/>
          </w:tcPr>
          <w:p w:rsidR="003D18C8" w:rsidRPr="003D18C8" w:rsidRDefault="003D18C8" w:rsidP="003D18C8">
            <w:pPr>
              <w:tabs>
                <w:tab w:val="clear" w:pos="284"/>
              </w:tabs>
              <w:spacing w:line="240" w:lineRule="auto"/>
              <w:rPr>
                <w:rFonts w:ascii="Arial" w:eastAsia="Times New Roman" w:hAnsi="Arial" w:cs="Arial"/>
                <w:b/>
                <w:bCs/>
                <w:color w:val="000000"/>
                <w:kern w:val="0"/>
                <w:lang w:eastAsia="en-GB"/>
              </w:rPr>
            </w:pPr>
            <w:r w:rsidRPr="003D18C8">
              <w:rPr>
                <w:rFonts w:ascii="Arial" w:eastAsia="Times New Roman" w:hAnsi="Arial" w:cs="Arial"/>
                <w:b/>
                <w:bCs/>
                <w:color w:val="000000"/>
                <w:kern w:val="0"/>
                <w:lang w:eastAsia="en-GB"/>
              </w:rPr>
              <w:t>Chichester</w:t>
            </w:r>
          </w:p>
        </w:tc>
      </w:tr>
      <w:tr w:rsidR="003D18C8" w:rsidRPr="003D18C8" w:rsidTr="003D18C8">
        <w:trPr>
          <w:trHeight w:val="228"/>
        </w:trPr>
        <w:tc>
          <w:tcPr>
            <w:tcW w:w="2600" w:type="dxa"/>
            <w:tcBorders>
              <w:top w:val="nil"/>
              <w:left w:val="single" w:sz="8" w:space="0" w:color="auto"/>
              <w:bottom w:val="single" w:sz="4" w:space="0" w:color="auto"/>
              <w:right w:val="single" w:sz="4" w:space="0" w:color="auto"/>
            </w:tcBorders>
            <w:shd w:val="clear" w:color="auto" w:fill="auto"/>
            <w:noWrap/>
            <w:vAlign w:val="bottom"/>
            <w:hideMark/>
          </w:tcPr>
          <w:p w:rsidR="003D18C8" w:rsidRPr="003D18C8" w:rsidRDefault="003D18C8" w:rsidP="003D18C8">
            <w:pPr>
              <w:tabs>
                <w:tab w:val="clear" w:pos="284"/>
              </w:tabs>
              <w:spacing w:line="240" w:lineRule="auto"/>
              <w:rPr>
                <w:rFonts w:ascii="Arial" w:eastAsia="Times New Roman" w:hAnsi="Arial" w:cs="Arial"/>
                <w:color w:val="000000"/>
                <w:kern w:val="0"/>
                <w:lang w:eastAsia="en-GB"/>
              </w:rPr>
            </w:pPr>
            <w:r w:rsidRPr="003D18C8">
              <w:rPr>
                <w:rFonts w:ascii="Arial" w:eastAsia="Times New Roman" w:hAnsi="Arial" w:cs="Arial"/>
                <w:color w:val="000000"/>
                <w:kern w:val="0"/>
                <w:lang w:eastAsia="en-GB"/>
              </w:rPr>
              <w:t>1 Room</w:t>
            </w:r>
          </w:p>
        </w:tc>
        <w:tc>
          <w:tcPr>
            <w:tcW w:w="1900" w:type="dxa"/>
            <w:tcBorders>
              <w:top w:val="nil"/>
              <w:left w:val="nil"/>
              <w:bottom w:val="single" w:sz="4" w:space="0" w:color="auto"/>
              <w:right w:val="single" w:sz="4" w:space="0" w:color="auto"/>
            </w:tcBorders>
            <w:shd w:val="clear" w:color="auto" w:fill="auto"/>
            <w:noWrap/>
            <w:vAlign w:val="bottom"/>
            <w:hideMark/>
          </w:tcPr>
          <w:p w:rsidR="003D18C8" w:rsidRPr="003D18C8" w:rsidRDefault="003D18C8" w:rsidP="003D18C8">
            <w:pPr>
              <w:tabs>
                <w:tab w:val="clear" w:pos="284"/>
              </w:tabs>
              <w:spacing w:line="240" w:lineRule="auto"/>
              <w:jc w:val="right"/>
              <w:rPr>
                <w:rFonts w:ascii="Arial" w:eastAsia="Times New Roman" w:hAnsi="Arial" w:cs="Arial"/>
                <w:color w:val="000000"/>
                <w:kern w:val="0"/>
                <w:lang w:eastAsia="en-GB"/>
              </w:rPr>
            </w:pPr>
            <w:r w:rsidRPr="003D18C8">
              <w:rPr>
                <w:rFonts w:ascii="Arial" w:eastAsia="Times New Roman" w:hAnsi="Arial" w:cs="Arial"/>
                <w:color w:val="000000"/>
                <w:kern w:val="0"/>
                <w:lang w:eastAsia="en-GB"/>
              </w:rPr>
              <w:t>3</w:t>
            </w:r>
          </w:p>
        </w:tc>
        <w:tc>
          <w:tcPr>
            <w:tcW w:w="1460" w:type="dxa"/>
            <w:tcBorders>
              <w:top w:val="nil"/>
              <w:left w:val="nil"/>
              <w:bottom w:val="single" w:sz="4" w:space="0" w:color="auto"/>
              <w:right w:val="single" w:sz="4" w:space="0" w:color="auto"/>
            </w:tcBorders>
            <w:shd w:val="clear" w:color="auto" w:fill="auto"/>
            <w:noWrap/>
            <w:vAlign w:val="bottom"/>
            <w:hideMark/>
          </w:tcPr>
          <w:p w:rsidR="003D18C8" w:rsidRPr="003D18C8" w:rsidRDefault="003D18C8" w:rsidP="003D18C8">
            <w:pPr>
              <w:tabs>
                <w:tab w:val="clear" w:pos="284"/>
              </w:tabs>
              <w:spacing w:line="240" w:lineRule="auto"/>
              <w:jc w:val="right"/>
              <w:rPr>
                <w:rFonts w:ascii="Arial" w:eastAsia="Times New Roman" w:hAnsi="Arial" w:cs="Arial"/>
                <w:color w:val="000000"/>
                <w:kern w:val="0"/>
                <w:lang w:eastAsia="en-GB"/>
              </w:rPr>
            </w:pPr>
            <w:r w:rsidRPr="003D18C8">
              <w:rPr>
                <w:rFonts w:ascii="Arial" w:eastAsia="Times New Roman" w:hAnsi="Arial" w:cs="Arial"/>
                <w:color w:val="000000"/>
                <w:kern w:val="0"/>
                <w:lang w:eastAsia="en-GB"/>
              </w:rPr>
              <w:t>254</w:t>
            </w:r>
          </w:p>
        </w:tc>
        <w:tc>
          <w:tcPr>
            <w:tcW w:w="1460" w:type="dxa"/>
            <w:tcBorders>
              <w:top w:val="nil"/>
              <w:left w:val="nil"/>
              <w:bottom w:val="single" w:sz="4" w:space="0" w:color="auto"/>
              <w:right w:val="single" w:sz="4" w:space="0" w:color="auto"/>
            </w:tcBorders>
            <w:shd w:val="clear" w:color="auto" w:fill="auto"/>
            <w:noWrap/>
            <w:vAlign w:val="bottom"/>
            <w:hideMark/>
          </w:tcPr>
          <w:p w:rsidR="003D18C8" w:rsidRPr="003D18C8" w:rsidRDefault="003D18C8" w:rsidP="003D18C8">
            <w:pPr>
              <w:tabs>
                <w:tab w:val="clear" w:pos="284"/>
              </w:tabs>
              <w:spacing w:line="240" w:lineRule="auto"/>
              <w:jc w:val="right"/>
              <w:rPr>
                <w:rFonts w:ascii="Arial" w:eastAsia="Times New Roman" w:hAnsi="Arial" w:cs="Arial"/>
                <w:color w:val="000000"/>
                <w:kern w:val="0"/>
                <w:lang w:eastAsia="en-GB"/>
              </w:rPr>
            </w:pPr>
            <w:r w:rsidRPr="003D18C8">
              <w:rPr>
                <w:rFonts w:ascii="Arial" w:eastAsia="Times New Roman" w:hAnsi="Arial" w:cs="Arial"/>
                <w:color w:val="000000"/>
                <w:kern w:val="0"/>
                <w:lang w:eastAsia="en-GB"/>
              </w:rPr>
              <w:t>2</w:t>
            </w:r>
          </w:p>
        </w:tc>
        <w:tc>
          <w:tcPr>
            <w:tcW w:w="1400" w:type="dxa"/>
            <w:tcBorders>
              <w:top w:val="nil"/>
              <w:left w:val="nil"/>
              <w:bottom w:val="single" w:sz="4" w:space="0" w:color="auto"/>
              <w:right w:val="single" w:sz="8" w:space="0" w:color="auto"/>
            </w:tcBorders>
            <w:shd w:val="clear" w:color="auto" w:fill="auto"/>
            <w:noWrap/>
            <w:vAlign w:val="bottom"/>
            <w:hideMark/>
          </w:tcPr>
          <w:p w:rsidR="003D18C8" w:rsidRPr="003D18C8" w:rsidRDefault="003D18C8" w:rsidP="003D18C8">
            <w:pPr>
              <w:tabs>
                <w:tab w:val="clear" w:pos="284"/>
              </w:tabs>
              <w:spacing w:line="240" w:lineRule="auto"/>
              <w:jc w:val="right"/>
              <w:rPr>
                <w:rFonts w:ascii="Arial" w:eastAsia="Times New Roman" w:hAnsi="Arial" w:cs="Arial"/>
                <w:color w:val="000000"/>
                <w:kern w:val="0"/>
                <w:lang w:eastAsia="en-GB"/>
              </w:rPr>
            </w:pPr>
            <w:r w:rsidRPr="003D18C8">
              <w:rPr>
                <w:rFonts w:ascii="Arial" w:eastAsia="Times New Roman" w:hAnsi="Arial" w:cs="Arial"/>
                <w:color w:val="000000"/>
                <w:kern w:val="0"/>
                <w:lang w:eastAsia="en-GB"/>
              </w:rPr>
              <w:t>195</w:t>
            </w:r>
          </w:p>
        </w:tc>
      </w:tr>
      <w:tr w:rsidR="003D18C8" w:rsidRPr="003D18C8" w:rsidTr="003D18C8">
        <w:trPr>
          <w:trHeight w:val="228"/>
        </w:trPr>
        <w:tc>
          <w:tcPr>
            <w:tcW w:w="2600" w:type="dxa"/>
            <w:tcBorders>
              <w:top w:val="nil"/>
              <w:left w:val="single" w:sz="8" w:space="0" w:color="auto"/>
              <w:bottom w:val="single" w:sz="4" w:space="0" w:color="auto"/>
              <w:right w:val="single" w:sz="4" w:space="0" w:color="auto"/>
            </w:tcBorders>
            <w:shd w:val="clear" w:color="auto" w:fill="auto"/>
            <w:noWrap/>
            <w:vAlign w:val="bottom"/>
            <w:hideMark/>
          </w:tcPr>
          <w:p w:rsidR="003D18C8" w:rsidRPr="003D18C8" w:rsidRDefault="003D18C8" w:rsidP="003D18C8">
            <w:pPr>
              <w:tabs>
                <w:tab w:val="clear" w:pos="284"/>
              </w:tabs>
              <w:spacing w:line="240" w:lineRule="auto"/>
              <w:rPr>
                <w:rFonts w:ascii="Arial" w:eastAsia="Times New Roman" w:hAnsi="Arial" w:cs="Arial"/>
                <w:color w:val="000000"/>
                <w:kern w:val="0"/>
                <w:lang w:eastAsia="en-GB"/>
              </w:rPr>
            </w:pPr>
            <w:r w:rsidRPr="003D18C8">
              <w:rPr>
                <w:rFonts w:ascii="Arial" w:eastAsia="Times New Roman" w:hAnsi="Arial" w:cs="Arial"/>
                <w:color w:val="000000"/>
                <w:kern w:val="0"/>
                <w:lang w:eastAsia="en-GB"/>
              </w:rPr>
              <w:t>2 Rooms</w:t>
            </w:r>
          </w:p>
        </w:tc>
        <w:tc>
          <w:tcPr>
            <w:tcW w:w="1900" w:type="dxa"/>
            <w:tcBorders>
              <w:top w:val="nil"/>
              <w:left w:val="nil"/>
              <w:bottom w:val="single" w:sz="4" w:space="0" w:color="auto"/>
              <w:right w:val="single" w:sz="4" w:space="0" w:color="auto"/>
            </w:tcBorders>
            <w:shd w:val="clear" w:color="auto" w:fill="auto"/>
            <w:noWrap/>
            <w:vAlign w:val="bottom"/>
            <w:hideMark/>
          </w:tcPr>
          <w:p w:rsidR="003D18C8" w:rsidRPr="003D18C8" w:rsidRDefault="003D18C8" w:rsidP="003D18C8">
            <w:pPr>
              <w:tabs>
                <w:tab w:val="clear" w:pos="284"/>
              </w:tabs>
              <w:spacing w:line="240" w:lineRule="auto"/>
              <w:jc w:val="right"/>
              <w:rPr>
                <w:rFonts w:ascii="Arial" w:eastAsia="Times New Roman" w:hAnsi="Arial" w:cs="Arial"/>
                <w:color w:val="000000"/>
                <w:kern w:val="0"/>
                <w:lang w:eastAsia="en-GB"/>
              </w:rPr>
            </w:pPr>
            <w:r w:rsidRPr="003D18C8">
              <w:rPr>
                <w:rFonts w:ascii="Arial" w:eastAsia="Times New Roman" w:hAnsi="Arial" w:cs="Arial"/>
                <w:color w:val="000000"/>
                <w:kern w:val="0"/>
                <w:lang w:eastAsia="en-GB"/>
              </w:rPr>
              <w:t>6</w:t>
            </w:r>
          </w:p>
        </w:tc>
        <w:tc>
          <w:tcPr>
            <w:tcW w:w="1460" w:type="dxa"/>
            <w:tcBorders>
              <w:top w:val="nil"/>
              <w:left w:val="nil"/>
              <w:bottom w:val="single" w:sz="4" w:space="0" w:color="auto"/>
              <w:right w:val="single" w:sz="4" w:space="0" w:color="auto"/>
            </w:tcBorders>
            <w:shd w:val="clear" w:color="auto" w:fill="auto"/>
            <w:noWrap/>
            <w:vAlign w:val="bottom"/>
            <w:hideMark/>
          </w:tcPr>
          <w:p w:rsidR="003D18C8" w:rsidRPr="003D18C8" w:rsidRDefault="003D18C8" w:rsidP="003D18C8">
            <w:pPr>
              <w:tabs>
                <w:tab w:val="clear" w:pos="284"/>
              </w:tabs>
              <w:spacing w:line="240" w:lineRule="auto"/>
              <w:jc w:val="right"/>
              <w:rPr>
                <w:rFonts w:ascii="Arial" w:eastAsia="Times New Roman" w:hAnsi="Arial" w:cs="Arial"/>
                <w:color w:val="000000"/>
                <w:kern w:val="0"/>
                <w:lang w:eastAsia="en-GB"/>
              </w:rPr>
            </w:pPr>
            <w:r w:rsidRPr="003D18C8">
              <w:rPr>
                <w:rFonts w:ascii="Arial" w:eastAsia="Times New Roman" w:hAnsi="Arial" w:cs="Arial"/>
                <w:color w:val="000000"/>
                <w:kern w:val="0"/>
                <w:lang w:eastAsia="en-GB"/>
              </w:rPr>
              <w:t>763</w:t>
            </w:r>
          </w:p>
        </w:tc>
        <w:tc>
          <w:tcPr>
            <w:tcW w:w="1460" w:type="dxa"/>
            <w:tcBorders>
              <w:top w:val="nil"/>
              <w:left w:val="nil"/>
              <w:bottom w:val="single" w:sz="4" w:space="0" w:color="auto"/>
              <w:right w:val="single" w:sz="4" w:space="0" w:color="auto"/>
            </w:tcBorders>
            <w:shd w:val="clear" w:color="auto" w:fill="auto"/>
            <w:noWrap/>
            <w:vAlign w:val="bottom"/>
            <w:hideMark/>
          </w:tcPr>
          <w:p w:rsidR="003D18C8" w:rsidRPr="003D18C8" w:rsidRDefault="003D18C8" w:rsidP="003D18C8">
            <w:pPr>
              <w:tabs>
                <w:tab w:val="clear" w:pos="284"/>
              </w:tabs>
              <w:spacing w:line="240" w:lineRule="auto"/>
              <w:jc w:val="right"/>
              <w:rPr>
                <w:rFonts w:ascii="Arial" w:eastAsia="Times New Roman" w:hAnsi="Arial" w:cs="Arial"/>
                <w:color w:val="000000"/>
                <w:kern w:val="0"/>
                <w:lang w:eastAsia="en-GB"/>
              </w:rPr>
            </w:pPr>
            <w:r w:rsidRPr="003D18C8">
              <w:rPr>
                <w:rFonts w:ascii="Arial" w:eastAsia="Times New Roman" w:hAnsi="Arial" w:cs="Arial"/>
                <w:color w:val="000000"/>
                <w:kern w:val="0"/>
                <w:lang w:eastAsia="en-GB"/>
              </w:rPr>
              <w:t>12</w:t>
            </w:r>
          </w:p>
        </w:tc>
        <w:tc>
          <w:tcPr>
            <w:tcW w:w="1400" w:type="dxa"/>
            <w:tcBorders>
              <w:top w:val="nil"/>
              <w:left w:val="nil"/>
              <w:bottom w:val="single" w:sz="4" w:space="0" w:color="auto"/>
              <w:right w:val="single" w:sz="8" w:space="0" w:color="auto"/>
            </w:tcBorders>
            <w:shd w:val="clear" w:color="auto" w:fill="auto"/>
            <w:noWrap/>
            <w:vAlign w:val="bottom"/>
            <w:hideMark/>
          </w:tcPr>
          <w:p w:rsidR="003D18C8" w:rsidRPr="003D18C8" w:rsidRDefault="003D18C8" w:rsidP="003D18C8">
            <w:pPr>
              <w:tabs>
                <w:tab w:val="clear" w:pos="284"/>
              </w:tabs>
              <w:spacing w:line="240" w:lineRule="auto"/>
              <w:jc w:val="right"/>
              <w:rPr>
                <w:rFonts w:ascii="Arial" w:eastAsia="Times New Roman" w:hAnsi="Arial" w:cs="Arial"/>
                <w:color w:val="000000"/>
                <w:kern w:val="0"/>
                <w:lang w:eastAsia="en-GB"/>
              </w:rPr>
            </w:pPr>
            <w:r w:rsidRPr="003D18C8">
              <w:rPr>
                <w:rFonts w:ascii="Arial" w:eastAsia="Times New Roman" w:hAnsi="Arial" w:cs="Arial"/>
                <w:color w:val="000000"/>
                <w:kern w:val="0"/>
                <w:lang w:eastAsia="en-GB"/>
              </w:rPr>
              <w:t>1004</w:t>
            </w:r>
          </w:p>
        </w:tc>
      </w:tr>
      <w:tr w:rsidR="003D18C8" w:rsidRPr="003D18C8" w:rsidTr="003D18C8">
        <w:trPr>
          <w:trHeight w:val="228"/>
        </w:trPr>
        <w:tc>
          <w:tcPr>
            <w:tcW w:w="2600" w:type="dxa"/>
            <w:tcBorders>
              <w:top w:val="nil"/>
              <w:left w:val="single" w:sz="8" w:space="0" w:color="auto"/>
              <w:bottom w:val="single" w:sz="4" w:space="0" w:color="auto"/>
              <w:right w:val="single" w:sz="4" w:space="0" w:color="auto"/>
            </w:tcBorders>
            <w:shd w:val="clear" w:color="auto" w:fill="auto"/>
            <w:noWrap/>
            <w:vAlign w:val="bottom"/>
            <w:hideMark/>
          </w:tcPr>
          <w:p w:rsidR="003D18C8" w:rsidRPr="003D18C8" w:rsidRDefault="003D18C8" w:rsidP="003D18C8">
            <w:pPr>
              <w:tabs>
                <w:tab w:val="clear" w:pos="284"/>
              </w:tabs>
              <w:spacing w:line="240" w:lineRule="auto"/>
              <w:rPr>
                <w:rFonts w:ascii="Arial" w:eastAsia="Times New Roman" w:hAnsi="Arial" w:cs="Arial"/>
                <w:color w:val="000000"/>
                <w:kern w:val="0"/>
                <w:lang w:eastAsia="en-GB"/>
              </w:rPr>
            </w:pPr>
            <w:r w:rsidRPr="003D18C8">
              <w:rPr>
                <w:rFonts w:ascii="Arial" w:eastAsia="Times New Roman" w:hAnsi="Arial" w:cs="Arial"/>
                <w:color w:val="000000"/>
                <w:kern w:val="0"/>
                <w:lang w:eastAsia="en-GB"/>
              </w:rPr>
              <w:t>3 Rooms</w:t>
            </w:r>
          </w:p>
        </w:tc>
        <w:tc>
          <w:tcPr>
            <w:tcW w:w="1900" w:type="dxa"/>
            <w:tcBorders>
              <w:top w:val="nil"/>
              <w:left w:val="nil"/>
              <w:bottom w:val="single" w:sz="4" w:space="0" w:color="auto"/>
              <w:right w:val="single" w:sz="4" w:space="0" w:color="auto"/>
            </w:tcBorders>
            <w:shd w:val="clear" w:color="auto" w:fill="auto"/>
            <w:noWrap/>
            <w:vAlign w:val="bottom"/>
            <w:hideMark/>
          </w:tcPr>
          <w:p w:rsidR="003D18C8" w:rsidRPr="003D18C8" w:rsidRDefault="003D18C8" w:rsidP="003D18C8">
            <w:pPr>
              <w:tabs>
                <w:tab w:val="clear" w:pos="284"/>
              </w:tabs>
              <w:spacing w:line="240" w:lineRule="auto"/>
              <w:jc w:val="right"/>
              <w:rPr>
                <w:rFonts w:ascii="Arial" w:eastAsia="Times New Roman" w:hAnsi="Arial" w:cs="Arial"/>
                <w:color w:val="000000"/>
                <w:kern w:val="0"/>
                <w:lang w:eastAsia="en-GB"/>
              </w:rPr>
            </w:pPr>
            <w:r w:rsidRPr="003D18C8">
              <w:rPr>
                <w:rFonts w:ascii="Arial" w:eastAsia="Times New Roman" w:hAnsi="Arial" w:cs="Arial"/>
                <w:color w:val="000000"/>
                <w:kern w:val="0"/>
                <w:lang w:eastAsia="en-GB"/>
              </w:rPr>
              <w:t>24</w:t>
            </w:r>
          </w:p>
        </w:tc>
        <w:tc>
          <w:tcPr>
            <w:tcW w:w="1460" w:type="dxa"/>
            <w:tcBorders>
              <w:top w:val="nil"/>
              <w:left w:val="nil"/>
              <w:bottom w:val="single" w:sz="4" w:space="0" w:color="auto"/>
              <w:right w:val="single" w:sz="4" w:space="0" w:color="auto"/>
            </w:tcBorders>
            <w:shd w:val="clear" w:color="auto" w:fill="auto"/>
            <w:noWrap/>
            <w:vAlign w:val="bottom"/>
            <w:hideMark/>
          </w:tcPr>
          <w:p w:rsidR="003D18C8" w:rsidRPr="003D18C8" w:rsidRDefault="003D18C8" w:rsidP="003D18C8">
            <w:pPr>
              <w:tabs>
                <w:tab w:val="clear" w:pos="284"/>
              </w:tabs>
              <w:spacing w:line="240" w:lineRule="auto"/>
              <w:jc w:val="right"/>
              <w:rPr>
                <w:rFonts w:ascii="Arial" w:eastAsia="Times New Roman" w:hAnsi="Arial" w:cs="Arial"/>
                <w:color w:val="000000"/>
                <w:kern w:val="0"/>
                <w:lang w:eastAsia="en-GB"/>
              </w:rPr>
            </w:pPr>
            <w:r w:rsidRPr="003D18C8">
              <w:rPr>
                <w:rFonts w:ascii="Arial" w:eastAsia="Times New Roman" w:hAnsi="Arial" w:cs="Arial"/>
                <w:color w:val="000000"/>
                <w:kern w:val="0"/>
                <w:lang w:eastAsia="en-GB"/>
              </w:rPr>
              <w:t>3326</w:t>
            </w:r>
          </w:p>
        </w:tc>
        <w:tc>
          <w:tcPr>
            <w:tcW w:w="1460" w:type="dxa"/>
            <w:tcBorders>
              <w:top w:val="nil"/>
              <w:left w:val="nil"/>
              <w:bottom w:val="single" w:sz="4" w:space="0" w:color="auto"/>
              <w:right w:val="single" w:sz="4" w:space="0" w:color="auto"/>
            </w:tcBorders>
            <w:shd w:val="clear" w:color="auto" w:fill="auto"/>
            <w:noWrap/>
            <w:vAlign w:val="bottom"/>
            <w:hideMark/>
          </w:tcPr>
          <w:p w:rsidR="003D18C8" w:rsidRPr="003D18C8" w:rsidRDefault="003D18C8" w:rsidP="003D18C8">
            <w:pPr>
              <w:tabs>
                <w:tab w:val="clear" w:pos="284"/>
              </w:tabs>
              <w:spacing w:line="240" w:lineRule="auto"/>
              <w:jc w:val="right"/>
              <w:rPr>
                <w:rFonts w:ascii="Arial" w:eastAsia="Times New Roman" w:hAnsi="Arial" w:cs="Arial"/>
                <w:color w:val="000000"/>
                <w:kern w:val="0"/>
                <w:lang w:eastAsia="en-GB"/>
              </w:rPr>
            </w:pPr>
            <w:r w:rsidRPr="003D18C8">
              <w:rPr>
                <w:rFonts w:ascii="Arial" w:eastAsia="Times New Roman" w:hAnsi="Arial" w:cs="Arial"/>
                <w:color w:val="000000"/>
                <w:kern w:val="0"/>
                <w:lang w:eastAsia="en-GB"/>
              </w:rPr>
              <w:t>49</w:t>
            </w:r>
          </w:p>
        </w:tc>
        <w:tc>
          <w:tcPr>
            <w:tcW w:w="1400" w:type="dxa"/>
            <w:tcBorders>
              <w:top w:val="nil"/>
              <w:left w:val="nil"/>
              <w:bottom w:val="single" w:sz="4" w:space="0" w:color="auto"/>
              <w:right w:val="single" w:sz="8" w:space="0" w:color="auto"/>
            </w:tcBorders>
            <w:shd w:val="clear" w:color="auto" w:fill="auto"/>
            <w:noWrap/>
            <w:vAlign w:val="bottom"/>
            <w:hideMark/>
          </w:tcPr>
          <w:p w:rsidR="003D18C8" w:rsidRPr="003D18C8" w:rsidRDefault="003D18C8" w:rsidP="003D18C8">
            <w:pPr>
              <w:tabs>
                <w:tab w:val="clear" w:pos="284"/>
              </w:tabs>
              <w:spacing w:line="240" w:lineRule="auto"/>
              <w:jc w:val="right"/>
              <w:rPr>
                <w:rFonts w:ascii="Arial" w:eastAsia="Times New Roman" w:hAnsi="Arial" w:cs="Arial"/>
                <w:color w:val="000000"/>
                <w:kern w:val="0"/>
                <w:lang w:eastAsia="en-GB"/>
              </w:rPr>
            </w:pPr>
            <w:r w:rsidRPr="003D18C8">
              <w:rPr>
                <w:rFonts w:ascii="Arial" w:eastAsia="Times New Roman" w:hAnsi="Arial" w:cs="Arial"/>
                <w:color w:val="000000"/>
                <w:kern w:val="0"/>
                <w:lang w:eastAsia="en-GB"/>
              </w:rPr>
              <w:t>4090</w:t>
            </w:r>
          </w:p>
        </w:tc>
      </w:tr>
      <w:tr w:rsidR="003D18C8" w:rsidRPr="003D18C8" w:rsidTr="003D18C8">
        <w:trPr>
          <w:trHeight w:val="228"/>
        </w:trPr>
        <w:tc>
          <w:tcPr>
            <w:tcW w:w="2600" w:type="dxa"/>
            <w:tcBorders>
              <w:top w:val="nil"/>
              <w:left w:val="single" w:sz="8" w:space="0" w:color="auto"/>
              <w:bottom w:val="single" w:sz="4" w:space="0" w:color="auto"/>
              <w:right w:val="single" w:sz="4" w:space="0" w:color="auto"/>
            </w:tcBorders>
            <w:shd w:val="clear" w:color="auto" w:fill="auto"/>
            <w:noWrap/>
            <w:vAlign w:val="bottom"/>
            <w:hideMark/>
          </w:tcPr>
          <w:p w:rsidR="003D18C8" w:rsidRPr="003D18C8" w:rsidRDefault="003D18C8" w:rsidP="003D18C8">
            <w:pPr>
              <w:tabs>
                <w:tab w:val="clear" w:pos="284"/>
              </w:tabs>
              <w:spacing w:line="240" w:lineRule="auto"/>
              <w:rPr>
                <w:rFonts w:ascii="Arial" w:eastAsia="Times New Roman" w:hAnsi="Arial" w:cs="Arial"/>
                <w:color w:val="000000"/>
                <w:kern w:val="0"/>
                <w:lang w:eastAsia="en-GB"/>
              </w:rPr>
            </w:pPr>
            <w:r w:rsidRPr="003D18C8">
              <w:rPr>
                <w:rFonts w:ascii="Arial" w:eastAsia="Times New Roman" w:hAnsi="Arial" w:cs="Arial"/>
                <w:color w:val="000000"/>
                <w:kern w:val="0"/>
                <w:lang w:eastAsia="en-GB"/>
              </w:rPr>
              <w:t>4 Rooms</w:t>
            </w:r>
          </w:p>
        </w:tc>
        <w:tc>
          <w:tcPr>
            <w:tcW w:w="1900" w:type="dxa"/>
            <w:tcBorders>
              <w:top w:val="nil"/>
              <w:left w:val="nil"/>
              <w:bottom w:val="single" w:sz="4" w:space="0" w:color="auto"/>
              <w:right w:val="single" w:sz="4" w:space="0" w:color="auto"/>
            </w:tcBorders>
            <w:shd w:val="clear" w:color="auto" w:fill="auto"/>
            <w:noWrap/>
            <w:vAlign w:val="bottom"/>
            <w:hideMark/>
          </w:tcPr>
          <w:p w:rsidR="003D18C8" w:rsidRPr="003D18C8" w:rsidRDefault="003D18C8" w:rsidP="003D18C8">
            <w:pPr>
              <w:tabs>
                <w:tab w:val="clear" w:pos="284"/>
              </w:tabs>
              <w:spacing w:line="240" w:lineRule="auto"/>
              <w:jc w:val="right"/>
              <w:rPr>
                <w:rFonts w:ascii="Arial" w:eastAsia="Times New Roman" w:hAnsi="Arial" w:cs="Arial"/>
                <w:color w:val="000000"/>
                <w:kern w:val="0"/>
                <w:lang w:eastAsia="en-GB"/>
              </w:rPr>
            </w:pPr>
            <w:r w:rsidRPr="003D18C8">
              <w:rPr>
                <w:rFonts w:ascii="Arial" w:eastAsia="Times New Roman" w:hAnsi="Arial" w:cs="Arial"/>
                <w:color w:val="000000"/>
                <w:kern w:val="0"/>
                <w:lang w:eastAsia="en-GB"/>
              </w:rPr>
              <w:t>291</w:t>
            </w:r>
          </w:p>
        </w:tc>
        <w:tc>
          <w:tcPr>
            <w:tcW w:w="1460" w:type="dxa"/>
            <w:tcBorders>
              <w:top w:val="nil"/>
              <w:left w:val="nil"/>
              <w:bottom w:val="single" w:sz="4" w:space="0" w:color="auto"/>
              <w:right w:val="single" w:sz="4" w:space="0" w:color="auto"/>
            </w:tcBorders>
            <w:shd w:val="clear" w:color="auto" w:fill="auto"/>
            <w:noWrap/>
            <w:vAlign w:val="bottom"/>
            <w:hideMark/>
          </w:tcPr>
          <w:p w:rsidR="003D18C8" w:rsidRPr="003D18C8" w:rsidRDefault="003D18C8" w:rsidP="003D18C8">
            <w:pPr>
              <w:tabs>
                <w:tab w:val="clear" w:pos="284"/>
              </w:tabs>
              <w:spacing w:line="240" w:lineRule="auto"/>
              <w:jc w:val="right"/>
              <w:rPr>
                <w:rFonts w:ascii="Arial" w:eastAsia="Times New Roman" w:hAnsi="Arial" w:cs="Arial"/>
                <w:color w:val="000000"/>
                <w:kern w:val="0"/>
                <w:lang w:eastAsia="en-GB"/>
              </w:rPr>
            </w:pPr>
            <w:r w:rsidRPr="003D18C8">
              <w:rPr>
                <w:rFonts w:ascii="Arial" w:eastAsia="Times New Roman" w:hAnsi="Arial" w:cs="Arial"/>
                <w:color w:val="000000"/>
                <w:kern w:val="0"/>
                <w:lang w:eastAsia="en-GB"/>
              </w:rPr>
              <w:t>8689</w:t>
            </w:r>
          </w:p>
        </w:tc>
        <w:tc>
          <w:tcPr>
            <w:tcW w:w="1460" w:type="dxa"/>
            <w:tcBorders>
              <w:top w:val="nil"/>
              <w:left w:val="nil"/>
              <w:bottom w:val="single" w:sz="4" w:space="0" w:color="auto"/>
              <w:right w:val="single" w:sz="4" w:space="0" w:color="auto"/>
            </w:tcBorders>
            <w:shd w:val="clear" w:color="auto" w:fill="auto"/>
            <w:noWrap/>
            <w:vAlign w:val="bottom"/>
            <w:hideMark/>
          </w:tcPr>
          <w:p w:rsidR="003D18C8" w:rsidRPr="003D18C8" w:rsidRDefault="003D18C8" w:rsidP="003D18C8">
            <w:pPr>
              <w:tabs>
                <w:tab w:val="clear" w:pos="284"/>
              </w:tabs>
              <w:spacing w:line="240" w:lineRule="auto"/>
              <w:jc w:val="right"/>
              <w:rPr>
                <w:rFonts w:ascii="Arial" w:eastAsia="Times New Roman" w:hAnsi="Arial" w:cs="Arial"/>
                <w:color w:val="000000"/>
                <w:kern w:val="0"/>
                <w:lang w:eastAsia="en-GB"/>
              </w:rPr>
            </w:pPr>
            <w:r w:rsidRPr="003D18C8">
              <w:rPr>
                <w:rFonts w:ascii="Arial" w:eastAsia="Times New Roman" w:hAnsi="Arial" w:cs="Arial"/>
                <w:color w:val="000000"/>
                <w:kern w:val="0"/>
                <w:lang w:eastAsia="en-GB"/>
              </w:rPr>
              <w:t>225</w:t>
            </w:r>
          </w:p>
        </w:tc>
        <w:tc>
          <w:tcPr>
            <w:tcW w:w="1400" w:type="dxa"/>
            <w:tcBorders>
              <w:top w:val="nil"/>
              <w:left w:val="nil"/>
              <w:bottom w:val="single" w:sz="4" w:space="0" w:color="auto"/>
              <w:right w:val="single" w:sz="8" w:space="0" w:color="auto"/>
            </w:tcBorders>
            <w:shd w:val="clear" w:color="auto" w:fill="auto"/>
            <w:noWrap/>
            <w:vAlign w:val="bottom"/>
            <w:hideMark/>
          </w:tcPr>
          <w:p w:rsidR="003D18C8" w:rsidRPr="003D18C8" w:rsidRDefault="003D18C8" w:rsidP="003D18C8">
            <w:pPr>
              <w:tabs>
                <w:tab w:val="clear" w:pos="284"/>
              </w:tabs>
              <w:spacing w:line="240" w:lineRule="auto"/>
              <w:jc w:val="right"/>
              <w:rPr>
                <w:rFonts w:ascii="Arial" w:eastAsia="Times New Roman" w:hAnsi="Arial" w:cs="Arial"/>
                <w:color w:val="000000"/>
                <w:kern w:val="0"/>
                <w:lang w:eastAsia="en-GB"/>
              </w:rPr>
            </w:pPr>
            <w:r w:rsidRPr="003D18C8">
              <w:rPr>
                <w:rFonts w:ascii="Arial" w:eastAsia="Times New Roman" w:hAnsi="Arial" w:cs="Arial"/>
                <w:color w:val="000000"/>
                <w:kern w:val="0"/>
                <w:lang w:eastAsia="en-GB"/>
              </w:rPr>
              <w:t>8829</w:t>
            </w:r>
          </w:p>
        </w:tc>
      </w:tr>
      <w:tr w:rsidR="003D18C8" w:rsidRPr="003D18C8" w:rsidTr="003D18C8">
        <w:trPr>
          <w:trHeight w:val="228"/>
        </w:trPr>
        <w:tc>
          <w:tcPr>
            <w:tcW w:w="2600" w:type="dxa"/>
            <w:tcBorders>
              <w:top w:val="nil"/>
              <w:left w:val="single" w:sz="8" w:space="0" w:color="auto"/>
              <w:bottom w:val="single" w:sz="4" w:space="0" w:color="auto"/>
              <w:right w:val="single" w:sz="4" w:space="0" w:color="auto"/>
            </w:tcBorders>
            <w:shd w:val="clear" w:color="auto" w:fill="auto"/>
            <w:noWrap/>
            <w:vAlign w:val="bottom"/>
            <w:hideMark/>
          </w:tcPr>
          <w:p w:rsidR="003D18C8" w:rsidRPr="003D18C8" w:rsidRDefault="003D18C8" w:rsidP="003D18C8">
            <w:pPr>
              <w:tabs>
                <w:tab w:val="clear" w:pos="284"/>
              </w:tabs>
              <w:spacing w:line="240" w:lineRule="auto"/>
              <w:rPr>
                <w:rFonts w:ascii="Arial" w:eastAsia="Times New Roman" w:hAnsi="Arial" w:cs="Arial"/>
                <w:color w:val="000000"/>
                <w:kern w:val="0"/>
                <w:lang w:eastAsia="en-GB"/>
              </w:rPr>
            </w:pPr>
            <w:r w:rsidRPr="003D18C8">
              <w:rPr>
                <w:rFonts w:ascii="Arial" w:eastAsia="Times New Roman" w:hAnsi="Arial" w:cs="Arial"/>
                <w:color w:val="000000"/>
                <w:kern w:val="0"/>
                <w:lang w:eastAsia="en-GB"/>
              </w:rPr>
              <w:t>5 Rooms</w:t>
            </w:r>
          </w:p>
        </w:tc>
        <w:tc>
          <w:tcPr>
            <w:tcW w:w="1900" w:type="dxa"/>
            <w:tcBorders>
              <w:top w:val="nil"/>
              <w:left w:val="nil"/>
              <w:bottom w:val="single" w:sz="4" w:space="0" w:color="auto"/>
              <w:right w:val="single" w:sz="4" w:space="0" w:color="auto"/>
            </w:tcBorders>
            <w:shd w:val="clear" w:color="auto" w:fill="auto"/>
            <w:noWrap/>
            <w:vAlign w:val="bottom"/>
            <w:hideMark/>
          </w:tcPr>
          <w:p w:rsidR="003D18C8" w:rsidRPr="003D18C8" w:rsidRDefault="003D18C8" w:rsidP="003D18C8">
            <w:pPr>
              <w:tabs>
                <w:tab w:val="clear" w:pos="284"/>
              </w:tabs>
              <w:spacing w:line="240" w:lineRule="auto"/>
              <w:jc w:val="right"/>
              <w:rPr>
                <w:rFonts w:ascii="Arial" w:eastAsia="Times New Roman" w:hAnsi="Arial" w:cs="Arial"/>
                <w:color w:val="000000"/>
                <w:kern w:val="0"/>
                <w:lang w:eastAsia="en-GB"/>
              </w:rPr>
            </w:pPr>
            <w:r w:rsidRPr="003D18C8">
              <w:rPr>
                <w:rFonts w:ascii="Arial" w:eastAsia="Times New Roman" w:hAnsi="Arial" w:cs="Arial"/>
                <w:color w:val="000000"/>
                <w:kern w:val="0"/>
                <w:lang w:eastAsia="en-GB"/>
              </w:rPr>
              <w:t>307</w:t>
            </w:r>
          </w:p>
        </w:tc>
        <w:tc>
          <w:tcPr>
            <w:tcW w:w="1460" w:type="dxa"/>
            <w:tcBorders>
              <w:top w:val="nil"/>
              <w:left w:val="nil"/>
              <w:bottom w:val="single" w:sz="4" w:space="0" w:color="auto"/>
              <w:right w:val="single" w:sz="4" w:space="0" w:color="auto"/>
            </w:tcBorders>
            <w:shd w:val="clear" w:color="auto" w:fill="auto"/>
            <w:noWrap/>
            <w:vAlign w:val="bottom"/>
            <w:hideMark/>
          </w:tcPr>
          <w:p w:rsidR="003D18C8" w:rsidRPr="003D18C8" w:rsidRDefault="003D18C8" w:rsidP="003D18C8">
            <w:pPr>
              <w:tabs>
                <w:tab w:val="clear" w:pos="284"/>
              </w:tabs>
              <w:spacing w:line="240" w:lineRule="auto"/>
              <w:jc w:val="right"/>
              <w:rPr>
                <w:rFonts w:ascii="Arial" w:eastAsia="Times New Roman" w:hAnsi="Arial" w:cs="Arial"/>
                <w:color w:val="000000"/>
                <w:kern w:val="0"/>
                <w:lang w:eastAsia="en-GB"/>
              </w:rPr>
            </w:pPr>
            <w:r w:rsidRPr="003D18C8">
              <w:rPr>
                <w:rFonts w:ascii="Arial" w:eastAsia="Times New Roman" w:hAnsi="Arial" w:cs="Arial"/>
                <w:color w:val="000000"/>
                <w:kern w:val="0"/>
                <w:lang w:eastAsia="en-GB"/>
              </w:rPr>
              <w:t>11294</w:t>
            </w:r>
          </w:p>
        </w:tc>
        <w:tc>
          <w:tcPr>
            <w:tcW w:w="1460" w:type="dxa"/>
            <w:tcBorders>
              <w:top w:val="nil"/>
              <w:left w:val="nil"/>
              <w:bottom w:val="single" w:sz="4" w:space="0" w:color="auto"/>
              <w:right w:val="single" w:sz="4" w:space="0" w:color="auto"/>
            </w:tcBorders>
            <w:shd w:val="clear" w:color="auto" w:fill="auto"/>
            <w:noWrap/>
            <w:vAlign w:val="bottom"/>
            <w:hideMark/>
          </w:tcPr>
          <w:p w:rsidR="003D18C8" w:rsidRPr="003D18C8" w:rsidRDefault="003D18C8" w:rsidP="003D18C8">
            <w:pPr>
              <w:tabs>
                <w:tab w:val="clear" w:pos="284"/>
              </w:tabs>
              <w:spacing w:line="240" w:lineRule="auto"/>
              <w:jc w:val="right"/>
              <w:rPr>
                <w:rFonts w:ascii="Arial" w:eastAsia="Times New Roman" w:hAnsi="Arial" w:cs="Arial"/>
                <w:color w:val="000000"/>
                <w:kern w:val="0"/>
                <w:lang w:eastAsia="en-GB"/>
              </w:rPr>
            </w:pPr>
            <w:r w:rsidRPr="003D18C8">
              <w:rPr>
                <w:rFonts w:ascii="Arial" w:eastAsia="Times New Roman" w:hAnsi="Arial" w:cs="Arial"/>
                <w:color w:val="000000"/>
                <w:kern w:val="0"/>
                <w:lang w:eastAsia="en-GB"/>
              </w:rPr>
              <w:t>295</w:t>
            </w:r>
          </w:p>
        </w:tc>
        <w:tc>
          <w:tcPr>
            <w:tcW w:w="1400" w:type="dxa"/>
            <w:tcBorders>
              <w:top w:val="nil"/>
              <w:left w:val="nil"/>
              <w:bottom w:val="single" w:sz="4" w:space="0" w:color="auto"/>
              <w:right w:val="single" w:sz="8" w:space="0" w:color="auto"/>
            </w:tcBorders>
            <w:shd w:val="clear" w:color="auto" w:fill="auto"/>
            <w:noWrap/>
            <w:vAlign w:val="bottom"/>
            <w:hideMark/>
          </w:tcPr>
          <w:p w:rsidR="003D18C8" w:rsidRPr="003D18C8" w:rsidRDefault="003D18C8" w:rsidP="003D18C8">
            <w:pPr>
              <w:tabs>
                <w:tab w:val="clear" w:pos="284"/>
              </w:tabs>
              <w:spacing w:line="240" w:lineRule="auto"/>
              <w:jc w:val="right"/>
              <w:rPr>
                <w:rFonts w:ascii="Arial" w:eastAsia="Times New Roman" w:hAnsi="Arial" w:cs="Arial"/>
                <w:color w:val="000000"/>
                <w:kern w:val="0"/>
                <w:lang w:eastAsia="en-GB"/>
              </w:rPr>
            </w:pPr>
            <w:r w:rsidRPr="003D18C8">
              <w:rPr>
                <w:rFonts w:ascii="Arial" w:eastAsia="Times New Roman" w:hAnsi="Arial" w:cs="Arial"/>
                <w:color w:val="000000"/>
                <w:kern w:val="0"/>
                <w:lang w:eastAsia="en-GB"/>
              </w:rPr>
              <w:t>11009</w:t>
            </w:r>
          </w:p>
        </w:tc>
      </w:tr>
      <w:tr w:rsidR="003D18C8" w:rsidRPr="003D18C8" w:rsidTr="003D18C8">
        <w:trPr>
          <w:trHeight w:val="228"/>
        </w:trPr>
        <w:tc>
          <w:tcPr>
            <w:tcW w:w="2600" w:type="dxa"/>
            <w:tcBorders>
              <w:top w:val="nil"/>
              <w:left w:val="single" w:sz="8" w:space="0" w:color="auto"/>
              <w:bottom w:val="single" w:sz="4" w:space="0" w:color="auto"/>
              <w:right w:val="single" w:sz="4" w:space="0" w:color="auto"/>
            </w:tcBorders>
            <w:shd w:val="clear" w:color="auto" w:fill="auto"/>
            <w:noWrap/>
            <w:vAlign w:val="bottom"/>
            <w:hideMark/>
          </w:tcPr>
          <w:p w:rsidR="003D18C8" w:rsidRPr="003D18C8" w:rsidRDefault="003D18C8" w:rsidP="003D18C8">
            <w:pPr>
              <w:tabs>
                <w:tab w:val="clear" w:pos="284"/>
              </w:tabs>
              <w:spacing w:line="240" w:lineRule="auto"/>
              <w:rPr>
                <w:rFonts w:ascii="Arial" w:eastAsia="Times New Roman" w:hAnsi="Arial" w:cs="Arial"/>
                <w:color w:val="000000"/>
                <w:kern w:val="0"/>
                <w:lang w:eastAsia="en-GB"/>
              </w:rPr>
            </w:pPr>
            <w:r w:rsidRPr="003D18C8">
              <w:rPr>
                <w:rFonts w:ascii="Arial" w:eastAsia="Times New Roman" w:hAnsi="Arial" w:cs="Arial"/>
                <w:color w:val="000000"/>
                <w:kern w:val="0"/>
                <w:lang w:eastAsia="en-GB"/>
              </w:rPr>
              <w:t>6 Rooms</w:t>
            </w:r>
          </w:p>
        </w:tc>
        <w:tc>
          <w:tcPr>
            <w:tcW w:w="1900" w:type="dxa"/>
            <w:tcBorders>
              <w:top w:val="nil"/>
              <w:left w:val="nil"/>
              <w:bottom w:val="single" w:sz="4" w:space="0" w:color="auto"/>
              <w:right w:val="single" w:sz="4" w:space="0" w:color="auto"/>
            </w:tcBorders>
            <w:shd w:val="clear" w:color="auto" w:fill="auto"/>
            <w:noWrap/>
            <w:vAlign w:val="bottom"/>
            <w:hideMark/>
          </w:tcPr>
          <w:p w:rsidR="003D18C8" w:rsidRPr="003D18C8" w:rsidRDefault="003D18C8" w:rsidP="003D18C8">
            <w:pPr>
              <w:tabs>
                <w:tab w:val="clear" w:pos="284"/>
              </w:tabs>
              <w:spacing w:line="240" w:lineRule="auto"/>
              <w:jc w:val="right"/>
              <w:rPr>
                <w:rFonts w:ascii="Arial" w:eastAsia="Times New Roman" w:hAnsi="Arial" w:cs="Arial"/>
                <w:color w:val="000000"/>
                <w:kern w:val="0"/>
                <w:lang w:eastAsia="en-GB"/>
              </w:rPr>
            </w:pPr>
            <w:r w:rsidRPr="003D18C8">
              <w:rPr>
                <w:rFonts w:ascii="Arial" w:eastAsia="Times New Roman" w:hAnsi="Arial" w:cs="Arial"/>
                <w:color w:val="000000"/>
                <w:kern w:val="0"/>
                <w:lang w:eastAsia="en-GB"/>
              </w:rPr>
              <w:t>244</w:t>
            </w:r>
          </w:p>
        </w:tc>
        <w:tc>
          <w:tcPr>
            <w:tcW w:w="1460" w:type="dxa"/>
            <w:tcBorders>
              <w:top w:val="nil"/>
              <w:left w:val="nil"/>
              <w:bottom w:val="single" w:sz="4" w:space="0" w:color="auto"/>
              <w:right w:val="single" w:sz="4" w:space="0" w:color="auto"/>
            </w:tcBorders>
            <w:shd w:val="clear" w:color="auto" w:fill="auto"/>
            <w:noWrap/>
            <w:vAlign w:val="bottom"/>
            <w:hideMark/>
          </w:tcPr>
          <w:p w:rsidR="003D18C8" w:rsidRPr="003D18C8" w:rsidRDefault="003D18C8" w:rsidP="003D18C8">
            <w:pPr>
              <w:tabs>
                <w:tab w:val="clear" w:pos="284"/>
              </w:tabs>
              <w:spacing w:line="240" w:lineRule="auto"/>
              <w:jc w:val="right"/>
              <w:rPr>
                <w:rFonts w:ascii="Arial" w:eastAsia="Times New Roman" w:hAnsi="Arial" w:cs="Arial"/>
                <w:color w:val="000000"/>
                <w:kern w:val="0"/>
                <w:lang w:eastAsia="en-GB"/>
              </w:rPr>
            </w:pPr>
            <w:r w:rsidRPr="003D18C8">
              <w:rPr>
                <w:rFonts w:ascii="Arial" w:eastAsia="Times New Roman" w:hAnsi="Arial" w:cs="Arial"/>
                <w:color w:val="000000"/>
                <w:kern w:val="0"/>
                <w:lang w:eastAsia="en-GB"/>
              </w:rPr>
              <w:t>8568</w:t>
            </w:r>
          </w:p>
        </w:tc>
        <w:tc>
          <w:tcPr>
            <w:tcW w:w="1460" w:type="dxa"/>
            <w:tcBorders>
              <w:top w:val="nil"/>
              <w:left w:val="nil"/>
              <w:bottom w:val="single" w:sz="4" w:space="0" w:color="auto"/>
              <w:right w:val="single" w:sz="4" w:space="0" w:color="auto"/>
            </w:tcBorders>
            <w:shd w:val="clear" w:color="auto" w:fill="auto"/>
            <w:noWrap/>
            <w:vAlign w:val="bottom"/>
            <w:hideMark/>
          </w:tcPr>
          <w:p w:rsidR="003D18C8" w:rsidRPr="003D18C8" w:rsidRDefault="003D18C8" w:rsidP="003D18C8">
            <w:pPr>
              <w:tabs>
                <w:tab w:val="clear" w:pos="284"/>
              </w:tabs>
              <w:spacing w:line="240" w:lineRule="auto"/>
              <w:jc w:val="right"/>
              <w:rPr>
                <w:rFonts w:ascii="Arial" w:eastAsia="Times New Roman" w:hAnsi="Arial" w:cs="Arial"/>
                <w:color w:val="000000"/>
                <w:kern w:val="0"/>
                <w:lang w:eastAsia="en-GB"/>
              </w:rPr>
            </w:pPr>
            <w:r w:rsidRPr="003D18C8">
              <w:rPr>
                <w:rFonts w:ascii="Arial" w:eastAsia="Times New Roman" w:hAnsi="Arial" w:cs="Arial"/>
                <w:color w:val="000000"/>
                <w:kern w:val="0"/>
                <w:lang w:eastAsia="en-GB"/>
              </w:rPr>
              <w:t>242</w:t>
            </w:r>
          </w:p>
        </w:tc>
        <w:tc>
          <w:tcPr>
            <w:tcW w:w="1400" w:type="dxa"/>
            <w:tcBorders>
              <w:top w:val="nil"/>
              <w:left w:val="nil"/>
              <w:bottom w:val="single" w:sz="4" w:space="0" w:color="auto"/>
              <w:right w:val="single" w:sz="8" w:space="0" w:color="auto"/>
            </w:tcBorders>
            <w:shd w:val="clear" w:color="auto" w:fill="auto"/>
            <w:noWrap/>
            <w:vAlign w:val="bottom"/>
            <w:hideMark/>
          </w:tcPr>
          <w:p w:rsidR="003D18C8" w:rsidRPr="003D18C8" w:rsidRDefault="003D18C8" w:rsidP="003D18C8">
            <w:pPr>
              <w:tabs>
                <w:tab w:val="clear" w:pos="284"/>
              </w:tabs>
              <w:spacing w:line="240" w:lineRule="auto"/>
              <w:jc w:val="right"/>
              <w:rPr>
                <w:rFonts w:ascii="Arial" w:eastAsia="Times New Roman" w:hAnsi="Arial" w:cs="Arial"/>
                <w:color w:val="000000"/>
                <w:kern w:val="0"/>
                <w:lang w:eastAsia="en-GB"/>
              </w:rPr>
            </w:pPr>
            <w:r w:rsidRPr="003D18C8">
              <w:rPr>
                <w:rFonts w:ascii="Arial" w:eastAsia="Times New Roman" w:hAnsi="Arial" w:cs="Arial"/>
                <w:color w:val="000000"/>
                <w:kern w:val="0"/>
                <w:lang w:eastAsia="en-GB"/>
              </w:rPr>
              <w:t>9310</w:t>
            </w:r>
          </w:p>
        </w:tc>
      </w:tr>
      <w:tr w:rsidR="003D18C8" w:rsidRPr="003D18C8" w:rsidTr="003D18C8">
        <w:trPr>
          <w:trHeight w:val="228"/>
        </w:trPr>
        <w:tc>
          <w:tcPr>
            <w:tcW w:w="2600" w:type="dxa"/>
            <w:tcBorders>
              <w:top w:val="nil"/>
              <w:left w:val="single" w:sz="8" w:space="0" w:color="auto"/>
              <w:bottom w:val="single" w:sz="4" w:space="0" w:color="auto"/>
              <w:right w:val="single" w:sz="4" w:space="0" w:color="auto"/>
            </w:tcBorders>
            <w:shd w:val="clear" w:color="auto" w:fill="auto"/>
            <w:noWrap/>
            <w:vAlign w:val="bottom"/>
            <w:hideMark/>
          </w:tcPr>
          <w:p w:rsidR="003D18C8" w:rsidRPr="003D18C8" w:rsidRDefault="003D18C8" w:rsidP="003D18C8">
            <w:pPr>
              <w:tabs>
                <w:tab w:val="clear" w:pos="284"/>
              </w:tabs>
              <w:spacing w:line="240" w:lineRule="auto"/>
              <w:rPr>
                <w:rFonts w:ascii="Arial" w:eastAsia="Times New Roman" w:hAnsi="Arial" w:cs="Arial"/>
                <w:color w:val="000000"/>
                <w:kern w:val="0"/>
                <w:lang w:eastAsia="en-GB"/>
              </w:rPr>
            </w:pPr>
            <w:r w:rsidRPr="003D18C8">
              <w:rPr>
                <w:rFonts w:ascii="Arial" w:eastAsia="Times New Roman" w:hAnsi="Arial" w:cs="Arial"/>
                <w:color w:val="000000"/>
                <w:kern w:val="0"/>
                <w:lang w:eastAsia="en-GB"/>
              </w:rPr>
              <w:t>7 Rooms</w:t>
            </w:r>
          </w:p>
        </w:tc>
        <w:tc>
          <w:tcPr>
            <w:tcW w:w="1900" w:type="dxa"/>
            <w:tcBorders>
              <w:top w:val="nil"/>
              <w:left w:val="nil"/>
              <w:bottom w:val="single" w:sz="4" w:space="0" w:color="auto"/>
              <w:right w:val="single" w:sz="4" w:space="0" w:color="auto"/>
            </w:tcBorders>
            <w:shd w:val="clear" w:color="auto" w:fill="auto"/>
            <w:noWrap/>
            <w:vAlign w:val="bottom"/>
            <w:hideMark/>
          </w:tcPr>
          <w:p w:rsidR="003D18C8" w:rsidRPr="003D18C8" w:rsidRDefault="003D18C8" w:rsidP="003D18C8">
            <w:pPr>
              <w:tabs>
                <w:tab w:val="clear" w:pos="284"/>
              </w:tabs>
              <w:spacing w:line="240" w:lineRule="auto"/>
              <w:jc w:val="right"/>
              <w:rPr>
                <w:rFonts w:ascii="Arial" w:eastAsia="Times New Roman" w:hAnsi="Arial" w:cs="Arial"/>
                <w:color w:val="000000"/>
                <w:kern w:val="0"/>
                <w:lang w:eastAsia="en-GB"/>
              </w:rPr>
            </w:pPr>
            <w:r w:rsidRPr="003D18C8">
              <w:rPr>
                <w:rFonts w:ascii="Arial" w:eastAsia="Times New Roman" w:hAnsi="Arial" w:cs="Arial"/>
                <w:color w:val="000000"/>
                <w:kern w:val="0"/>
                <w:lang w:eastAsia="en-GB"/>
              </w:rPr>
              <w:t>154</w:t>
            </w:r>
          </w:p>
        </w:tc>
        <w:tc>
          <w:tcPr>
            <w:tcW w:w="1460" w:type="dxa"/>
            <w:tcBorders>
              <w:top w:val="nil"/>
              <w:left w:val="nil"/>
              <w:bottom w:val="single" w:sz="4" w:space="0" w:color="auto"/>
              <w:right w:val="single" w:sz="4" w:space="0" w:color="auto"/>
            </w:tcBorders>
            <w:shd w:val="clear" w:color="auto" w:fill="auto"/>
            <w:noWrap/>
            <w:vAlign w:val="bottom"/>
            <w:hideMark/>
          </w:tcPr>
          <w:p w:rsidR="003D18C8" w:rsidRPr="003D18C8" w:rsidRDefault="003D18C8" w:rsidP="003D18C8">
            <w:pPr>
              <w:tabs>
                <w:tab w:val="clear" w:pos="284"/>
              </w:tabs>
              <w:spacing w:line="240" w:lineRule="auto"/>
              <w:jc w:val="right"/>
              <w:rPr>
                <w:rFonts w:ascii="Arial" w:eastAsia="Times New Roman" w:hAnsi="Arial" w:cs="Arial"/>
                <w:color w:val="000000"/>
                <w:kern w:val="0"/>
                <w:lang w:eastAsia="en-GB"/>
              </w:rPr>
            </w:pPr>
            <w:r w:rsidRPr="003D18C8">
              <w:rPr>
                <w:rFonts w:ascii="Arial" w:eastAsia="Times New Roman" w:hAnsi="Arial" w:cs="Arial"/>
                <w:color w:val="000000"/>
                <w:kern w:val="0"/>
                <w:lang w:eastAsia="en-GB"/>
              </w:rPr>
              <w:t>4926</w:t>
            </w:r>
          </w:p>
        </w:tc>
        <w:tc>
          <w:tcPr>
            <w:tcW w:w="1460" w:type="dxa"/>
            <w:tcBorders>
              <w:top w:val="nil"/>
              <w:left w:val="nil"/>
              <w:bottom w:val="single" w:sz="4" w:space="0" w:color="auto"/>
              <w:right w:val="single" w:sz="4" w:space="0" w:color="auto"/>
            </w:tcBorders>
            <w:shd w:val="clear" w:color="auto" w:fill="auto"/>
            <w:noWrap/>
            <w:vAlign w:val="bottom"/>
            <w:hideMark/>
          </w:tcPr>
          <w:p w:rsidR="003D18C8" w:rsidRPr="003D18C8" w:rsidRDefault="003D18C8" w:rsidP="003D18C8">
            <w:pPr>
              <w:tabs>
                <w:tab w:val="clear" w:pos="284"/>
              </w:tabs>
              <w:spacing w:line="240" w:lineRule="auto"/>
              <w:jc w:val="right"/>
              <w:rPr>
                <w:rFonts w:ascii="Arial" w:eastAsia="Times New Roman" w:hAnsi="Arial" w:cs="Arial"/>
                <w:color w:val="000000"/>
                <w:kern w:val="0"/>
                <w:lang w:eastAsia="en-GB"/>
              </w:rPr>
            </w:pPr>
            <w:r w:rsidRPr="003D18C8">
              <w:rPr>
                <w:rFonts w:ascii="Arial" w:eastAsia="Times New Roman" w:hAnsi="Arial" w:cs="Arial"/>
                <w:color w:val="000000"/>
                <w:kern w:val="0"/>
                <w:lang w:eastAsia="en-GB"/>
              </w:rPr>
              <w:t>184</w:t>
            </w:r>
          </w:p>
        </w:tc>
        <w:tc>
          <w:tcPr>
            <w:tcW w:w="1400" w:type="dxa"/>
            <w:tcBorders>
              <w:top w:val="nil"/>
              <w:left w:val="nil"/>
              <w:bottom w:val="single" w:sz="4" w:space="0" w:color="auto"/>
              <w:right w:val="single" w:sz="8" w:space="0" w:color="auto"/>
            </w:tcBorders>
            <w:shd w:val="clear" w:color="auto" w:fill="auto"/>
            <w:noWrap/>
            <w:vAlign w:val="bottom"/>
            <w:hideMark/>
          </w:tcPr>
          <w:p w:rsidR="003D18C8" w:rsidRPr="003D18C8" w:rsidRDefault="003D18C8" w:rsidP="003D18C8">
            <w:pPr>
              <w:tabs>
                <w:tab w:val="clear" w:pos="284"/>
              </w:tabs>
              <w:spacing w:line="240" w:lineRule="auto"/>
              <w:jc w:val="right"/>
              <w:rPr>
                <w:rFonts w:ascii="Arial" w:eastAsia="Times New Roman" w:hAnsi="Arial" w:cs="Arial"/>
                <w:color w:val="000000"/>
                <w:kern w:val="0"/>
                <w:lang w:eastAsia="en-GB"/>
              </w:rPr>
            </w:pPr>
            <w:r w:rsidRPr="003D18C8">
              <w:rPr>
                <w:rFonts w:ascii="Arial" w:eastAsia="Times New Roman" w:hAnsi="Arial" w:cs="Arial"/>
                <w:color w:val="000000"/>
                <w:kern w:val="0"/>
                <w:lang w:eastAsia="en-GB"/>
              </w:rPr>
              <w:t>5667</w:t>
            </w:r>
          </w:p>
        </w:tc>
      </w:tr>
      <w:tr w:rsidR="003D18C8" w:rsidRPr="003D18C8" w:rsidTr="003D18C8">
        <w:trPr>
          <w:trHeight w:val="228"/>
        </w:trPr>
        <w:tc>
          <w:tcPr>
            <w:tcW w:w="2600" w:type="dxa"/>
            <w:tcBorders>
              <w:top w:val="nil"/>
              <w:left w:val="single" w:sz="8" w:space="0" w:color="auto"/>
              <w:bottom w:val="single" w:sz="4" w:space="0" w:color="auto"/>
              <w:right w:val="single" w:sz="4" w:space="0" w:color="auto"/>
            </w:tcBorders>
            <w:shd w:val="clear" w:color="auto" w:fill="auto"/>
            <w:noWrap/>
            <w:vAlign w:val="bottom"/>
            <w:hideMark/>
          </w:tcPr>
          <w:p w:rsidR="003D18C8" w:rsidRPr="003D18C8" w:rsidRDefault="003D18C8" w:rsidP="003D18C8">
            <w:pPr>
              <w:tabs>
                <w:tab w:val="clear" w:pos="284"/>
              </w:tabs>
              <w:spacing w:line="240" w:lineRule="auto"/>
              <w:rPr>
                <w:rFonts w:ascii="Arial" w:eastAsia="Times New Roman" w:hAnsi="Arial" w:cs="Arial"/>
                <w:color w:val="000000"/>
                <w:kern w:val="0"/>
                <w:lang w:eastAsia="en-GB"/>
              </w:rPr>
            </w:pPr>
            <w:r w:rsidRPr="003D18C8">
              <w:rPr>
                <w:rFonts w:ascii="Arial" w:eastAsia="Times New Roman" w:hAnsi="Arial" w:cs="Arial"/>
                <w:color w:val="000000"/>
                <w:kern w:val="0"/>
                <w:lang w:eastAsia="en-GB"/>
              </w:rPr>
              <w:t>8 Rooms or more</w:t>
            </w:r>
          </w:p>
        </w:tc>
        <w:tc>
          <w:tcPr>
            <w:tcW w:w="1900" w:type="dxa"/>
            <w:tcBorders>
              <w:top w:val="nil"/>
              <w:left w:val="nil"/>
              <w:bottom w:val="single" w:sz="4" w:space="0" w:color="auto"/>
              <w:right w:val="single" w:sz="4" w:space="0" w:color="auto"/>
            </w:tcBorders>
            <w:shd w:val="clear" w:color="auto" w:fill="auto"/>
            <w:noWrap/>
            <w:vAlign w:val="bottom"/>
            <w:hideMark/>
          </w:tcPr>
          <w:p w:rsidR="003D18C8" w:rsidRPr="003D18C8" w:rsidRDefault="003D18C8" w:rsidP="003D18C8">
            <w:pPr>
              <w:tabs>
                <w:tab w:val="clear" w:pos="284"/>
              </w:tabs>
              <w:spacing w:line="240" w:lineRule="auto"/>
              <w:jc w:val="right"/>
              <w:rPr>
                <w:rFonts w:ascii="Arial" w:eastAsia="Times New Roman" w:hAnsi="Arial" w:cs="Arial"/>
                <w:color w:val="000000"/>
                <w:kern w:val="0"/>
                <w:lang w:eastAsia="en-GB"/>
              </w:rPr>
            </w:pPr>
            <w:r w:rsidRPr="003D18C8">
              <w:rPr>
                <w:rFonts w:ascii="Arial" w:eastAsia="Times New Roman" w:hAnsi="Arial" w:cs="Arial"/>
                <w:color w:val="000000"/>
                <w:kern w:val="0"/>
                <w:lang w:eastAsia="en-GB"/>
              </w:rPr>
              <w:t>307</w:t>
            </w:r>
          </w:p>
        </w:tc>
        <w:tc>
          <w:tcPr>
            <w:tcW w:w="1460" w:type="dxa"/>
            <w:tcBorders>
              <w:top w:val="nil"/>
              <w:left w:val="nil"/>
              <w:bottom w:val="single" w:sz="4" w:space="0" w:color="auto"/>
              <w:right w:val="single" w:sz="4" w:space="0" w:color="auto"/>
            </w:tcBorders>
            <w:shd w:val="clear" w:color="auto" w:fill="auto"/>
            <w:noWrap/>
            <w:vAlign w:val="bottom"/>
            <w:hideMark/>
          </w:tcPr>
          <w:p w:rsidR="003D18C8" w:rsidRPr="003D18C8" w:rsidRDefault="003D18C8" w:rsidP="003D18C8">
            <w:pPr>
              <w:tabs>
                <w:tab w:val="clear" w:pos="284"/>
              </w:tabs>
              <w:spacing w:line="240" w:lineRule="auto"/>
              <w:jc w:val="right"/>
              <w:rPr>
                <w:rFonts w:ascii="Arial" w:eastAsia="Times New Roman" w:hAnsi="Arial" w:cs="Arial"/>
                <w:color w:val="000000"/>
                <w:kern w:val="0"/>
                <w:lang w:eastAsia="en-GB"/>
              </w:rPr>
            </w:pPr>
            <w:r w:rsidRPr="003D18C8">
              <w:rPr>
                <w:rFonts w:ascii="Arial" w:eastAsia="Times New Roman" w:hAnsi="Arial" w:cs="Arial"/>
                <w:color w:val="000000"/>
                <w:kern w:val="0"/>
                <w:lang w:eastAsia="en-GB"/>
              </w:rPr>
              <w:t>7976</w:t>
            </w:r>
          </w:p>
        </w:tc>
        <w:tc>
          <w:tcPr>
            <w:tcW w:w="1460" w:type="dxa"/>
            <w:tcBorders>
              <w:top w:val="nil"/>
              <w:left w:val="nil"/>
              <w:bottom w:val="single" w:sz="4" w:space="0" w:color="auto"/>
              <w:right w:val="single" w:sz="4" w:space="0" w:color="auto"/>
            </w:tcBorders>
            <w:shd w:val="clear" w:color="auto" w:fill="auto"/>
            <w:noWrap/>
            <w:vAlign w:val="bottom"/>
            <w:hideMark/>
          </w:tcPr>
          <w:p w:rsidR="003D18C8" w:rsidRPr="003D18C8" w:rsidRDefault="003D18C8" w:rsidP="003D18C8">
            <w:pPr>
              <w:tabs>
                <w:tab w:val="clear" w:pos="284"/>
              </w:tabs>
              <w:spacing w:line="240" w:lineRule="auto"/>
              <w:jc w:val="right"/>
              <w:rPr>
                <w:rFonts w:ascii="Arial" w:eastAsia="Times New Roman" w:hAnsi="Arial" w:cs="Arial"/>
                <w:color w:val="000000"/>
                <w:kern w:val="0"/>
                <w:lang w:eastAsia="en-GB"/>
              </w:rPr>
            </w:pPr>
            <w:r w:rsidRPr="003D18C8">
              <w:rPr>
                <w:rFonts w:ascii="Arial" w:eastAsia="Times New Roman" w:hAnsi="Arial" w:cs="Arial"/>
                <w:color w:val="000000"/>
                <w:kern w:val="0"/>
                <w:lang w:eastAsia="en-GB"/>
              </w:rPr>
              <w:t>143</w:t>
            </w:r>
          </w:p>
        </w:tc>
        <w:tc>
          <w:tcPr>
            <w:tcW w:w="1400" w:type="dxa"/>
            <w:tcBorders>
              <w:top w:val="nil"/>
              <w:left w:val="nil"/>
              <w:bottom w:val="single" w:sz="4" w:space="0" w:color="auto"/>
              <w:right w:val="single" w:sz="8" w:space="0" w:color="auto"/>
            </w:tcBorders>
            <w:shd w:val="clear" w:color="auto" w:fill="auto"/>
            <w:noWrap/>
            <w:vAlign w:val="bottom"/>
            <w:hideMark/>
          </w:tcPr>
          <w:p w:rsidR="003D18C8" w:rsidRPr="003D18C8" w:rsidRDefault="003D18C8" w:rsidP="003D18C8">
            <w:pPr>
              <w:tabs>
                <w:tab w:val="clear" w:pos="284"/>
              </w:tabs>
              <w:spacing w:line="240" w:lineRule="auto"/>
              <w:jc w:val="right"/>
              <w:rPr>
                <w:rFonts w:ascii="Arial" w:eastAsia="Times New Roman" w:hAnsi="Arial" w:cs="Arial"/>
                <w:color w:val="000000"/>
                <w:kern w:val="0"/>
                <w:lang w:eastAsia="en-GB"/>
              </w:rPr>
            </w:pPr>
            <w:r w:rsidRPr="003D18C8">
              <w:rPr>
                <w:rFonts w:ascii="Arial" w:eastAsia="Times New Roman" w:hAnsi="Arial" w:cs="Arial"/>
                <w:color w:val="000000"/>
                <w:kern w:val="0"/>
                <w:lang w:eastAsia="en-GB"/>
              </w:rPr>
              <w:t>4119</w:t>
            </w:r>
          </w:p>
        </w:tc>
      </w:tr>
      <w:tr w:rsidR="003D18C8" w:rsidRPr="003D18C8" w:rsidTr="003D18C8">
        <w:trPr>
          <w:trHeight w:val="240"/>
        </w:trPr>
        <w:tc>
          <w:tcPr>
            <w:tcW w:w="2600" w:type="dxa"/>
            <w:tcBorders>
              <w:top w:val="nil"/>
              <w:left w:val="single" w:sz="8" w:space="0" w:color="auto"/>
              <w:bottom w:val="single" w:sz="8" w:space="0" w:color="auto"/>
              <w:right w:val="single" w:sz="4" w:space="0" w:color="auto"/>
            </w:tcBorders>
            <w:shd w:val="clear" w:color="auto" w:fill="auto"/>
            <w:noWrap/>
            <w:vAlign w:val="bottom"/>
            <w:hideMark/>
          </w:tcPr>
          <w:p w:rsidR="003D18C8" w:rsidRPr="003D18C8" w:rsidRDefault="003D18C8" w:rsidP="003D18C8">
            <w:pPr>
              <w:tabs>
                <w:tab w:val="clear" w:pos="284"/>
              </w:tabs>
              <w:spacing w:line="240" w:lineRule="auto"/>
              <w:rPr>
                <w:rFonts w:ascii="Arial" w:eastAsia="Times New Roman" w:hAnsi="Arial" w:cs="Arial"/>
                <w:color w:val="000000"/>
                <w:kern w:val="0"/>
                <w:lang w:eastAsia="en-GB"/>
              </w:rPr>
            </w:pPr>
            <w:r w:rsidRPr="003D18C8">
              <w:rPr>
                <w:rFonts w:ascii="Arial" w:eastAsia="Times New Roman" w:hAnsi="Arial" w:cs="Arial"/>
                <w:color w:val="000000"/>
                <w:kern w:val="0"/>
                <w:lang w:eastAsia="en-GB"/>
              </w:rPr>
              <w:t>9 Rooms or more</w:t>
            </w:r>
          </w:p>
        </w:tc>
        <w:tc>
          <w:tcPr>
            <w:tcW w:w="1900" w:type="dxa"/>
            <w:tcBorders>
              <w:top w:val="nil"/>
              <w:left w:val="nil"/>
              <w:bottom w:val="single" w:sz="8" w:space="0" w:color="auto"/>
              <w:right w:val="single" w:sz="4" w:space="0" w:color="auto"/>
            </w:tcBorders>
            <w:shd w:val="clear" w:color="auto" w:fill="auto"/>
            <w:noWrap/>
            <w:vAlign w:val="bottom"/>
            <w:hideMark/>
          </w:tcPr>
          <w:p w:rsidR="003D18C8" w:rsidRPr="003D18C8" w:rsidRDefault="003D18C8" w:rsidP="003D18C8">
            <w:pPr>
              <w:tabs>
                <w:tab w:val="clear" w:pos="284"/>
              </w:tabs>
              <w:spacing w:line="240" w:lineRule="auto"/>
              <w:rPr>
                <w:rFonts w:ascii="Arial" w:eastAsia="Times New Roman" w:hAnsi="Arial" w:cs="Arial"/>
                <w:color w:val="000000"/>
                <w:kern w:val="0"/>
                <w:lang w:eastAsia="en-GB"/>
              </w:rPr>
            </w:pPr>
            <w:r w:rsidRPr="003D18C8">
              <w:rPr>
                <w:rFonts w:ascii="Arial" w:eastAsia="Times New Roman" w:hAnsi="Arial" w:cs="Arial"/>
                <w:color w:val="000000"/>
                <w:kern w:val="0"/>
                <w:lang w:eastAsia="en-GB"/>
              </w:rPr>
              <w:t> </w:t>
            </w:r>
          </w:p>
        </w:tc>
        <w:tc>
          <w:tcPr>
            <w:tcW w:w="1460" w:type="dxa"/>
            <w:tcBorders>
              <w:top w:val="nil"/>
              <w:left w:val="nil"/>
              <w:bottom w:val="single" w:sz="8" w:space="0" w:color="auto"/>
              <w:right w:val="single" w:sz="4" w:space="0" w:color="auto"/>
            </w:tcBorders>
            <w:shd w:val="clear" w:color="auto" w:fill="auto"/>
            <w:noWrap/>
            <w:vAlign w:val="bottom"/>
            <w:hideMark/>
          </w:tcPr>
          <w:p w:rsidR="003D18C8" w:rsidRPr="003D18C8" w:rsidRDefault="003D18C8" w:rsidP="003D18C8">
            <w:pPr>
              <w:tabs>
                <w:tab w:val="clear" w:pos="284"/>
              </w:tabs>
              <w:spacing w:line="240" w:lineRule="auto"/>
              <w:rPr>
                <w:rFonts w:ascii="Arial" w:eastAsia="Times New Roman" w:hAnsi="Arial" w:cs="Arial"/>
                <w:color w:val="000000"/>
                <w:kern w:val="0"/>
                <w:lang w:eastAsia="en-GB"/>
              </w:rPr>
            </w:pPr>
            <w:r w:rsidRPr="003D18C8">
              <w:rPr>
                <w:rFonts w:ascii="Arial" w:eastAsia="Times New Roman" w:hAnsi="Arial" w:cs="Arial"/>
                <w:color w:val="000000"/>
                <w:kern w:val="0"/>
                <w:lang w:eastAsia="en-GB"/>
              </w:rPr>
              <w:t> </w:t>
            </w:r>
          </w:p>
        </w:tc>
        <w:tc>
          <w:tcPr>
            <w:tcW w:w="1460" w:type="dxa"/>
            <w:tcBorders>
              <w:top w:val="nil"/>
              <w:left w:val="nil"/>
              <w:bottom w:val="single" w:sz="8" w:space="0" w:color="auto"/>
              <w:right w:val="single" w:sz="4" w:space="0" w:color="auto"/>
            </w:tcBorders>
            <w:shd w:val="clear" w:color="auto" w:fill="auto"/>
            <w:noWrap/>
            <w:vAlign w:val="bottom"/>
            <w:hideMark/>
          </w:tcPr>
          <w:p w:rsidR="003D18C8" w:rsidRPr="003D18C8" w:rsidRDefault="003D18C8" w:rsidP="003D18C8">
            <w:pPr>
              <w:tabs>
                <w:tab w:val="clear" w:pos="284"/>
              </w:tabs>
              <w:spacing w:line="240" w:lineRule="auto"/>
              <w:jc w:val="right"/>
              <w:rPr>
                <w:rFonts w:ascii="Arial" w:eastAsia="Times New Roman" w:hAnsi="Arial" w:cs="Arial"/>
                <w:color w:val="000000"/>
                <w:kern w:val="0"/>
                <w:lang w:eastAsia="en-GB"/>
              </w:rPr>
            </w:pPr>
            <w:r w:rsidRPr="003D18C8">
              <w:rPr>
                <w:rFonts w:ascii="Arial" w:eastAsia="Times New Roman" w:hAnsi="Arial" w:cs="Arial"/>
                <w:color w:val="000000"/>
                <w:kern w:val="0"/>
                <w:lang w:eastAsia="en-GB"/>
              </w:rPr>
              <w:t>200</w:t>
            </w:r>
          </w:p>
        </w:tc>
        <w:tc>
          <w:tcPr>
            <w:tcW w:w="1400" w:type="dxa"/>
            <w:tcBorders>
              <w:top w:val="nil"/>
              <w:left w:val="nil"/>
              <w:bottom w:val="single" w:sz="8" w:space="0" w:color="auto"/>
              <w:right w:val="single" w:sz="8" w:space="0" w:color="auto"/>
            </w:tcBorders>
            <w:shd w:val="clear" w:color="auto" w:fill="auto"/>
            <w:noWrap/>
            <w:vAlign w:val="bottom"/>
            <w:hideMark/>
          </w:tcPr>
          <w:p w:rsidR="003D18C8" w:rsidRPr="003D18C8" w:rsidRDefault="003D18C8" w:rsidP="003D18C8">
            <w:pPr>
              <w:tabs>
                <w:tab w:val="clear" w:pos="284"/>
              </w:tabs>
              <w:spacing w:line="240" w:lineRule="auto"/>
              <w:jc w:val="right"/>
              <w:rPr>
                <w:rFonts w:ascii="Arial" w:eastAsia="Times New Roman" w:hAnsi="Arial" w:cs="Arial"/>
                <w:color w:val="000000"/>
                <w:kern w:val="0"/>
                <w:lang w:eastAsia="en-GB"/>
              </w:rPr>
            </w:pPr>
            <w:r w:rsidRPr="003D18C8">
              <w:rPr>
                <w:rFonts w:ascii="Arial" w:eastAsia="Times New Roman" w:hAnsi="Arial" w:cs="Arial"/>
                <w:color w:val="000000"/>
                <w:kern w:val="0"/>
                <w:lang w:eastAsia="en-GB"/>
              </w:rPr>
              <w:t>5625</w:t>
            </w:r>
          </w:p>
        </w:tc>
      </w:tr>
    </w:tbl>
    <w:p w:rsidR="00BF22EF" w:rsidRPr="00836EDB" w:rsidRDefault="00BF22EF" w:rsidP="00BF22EF">
      <w:pPr>
        <w:pStyle w:val="BodyText"/>
        <w:rPr>
          <w:bCs/>
          <w:i/>
          <w:iCs/>
          <w:color w:val="000000" w:themeColor="text1"/>
          <w:lang w:val="en-US"/>
        </w:rPr>
      </w:pPr>
      <w:r w:rsidRPr="00836EDB">
        <w:rPr>
          <w:bCs/>
          <w:i/>
          <w:iCs/>
          <w:color w:val="000000" w:themeColor="text1"/>
          <w:lang w:val="en-US"/>
        </w:rPr>
        <w:t xml:space="preserve">Source: Census </w:t>
      </w:r>
      <w:r>
        <w:rPr>
          <w:bCs/>
          <w:i/>
          <w:iCs/>
          <w:color w:val="000000" w:themeColor="text1"/>
          <w:lang w:val="en-US"/>
        </w:rPr>
        <w:t xml:space="preserve">2001 and </w:t>
      </w:r>
      <w:r w:rsidRPr="00836EDB">
        <w:rPr>
          <w:bCs/>
          <w:i/>
          <w:iCs/>
          <w:color w:val="000000" w:themeColor="text1"/>
          <w:lang w:val="en-US"/>
        </w:rPr>
        <w:t xml:space="preserve">2011, AECOM </w:t>
      </w:r>
      <w:r w:rsidR="00C22531">
        <w:rPr>
          <w:bCs/>
          <w:i/>
          <w:iCs/>
          <w:color w:val="000000" w:themeColor="text1"/>
          <w:lang w:val="en-US"/>
        </w:rPr>
        <w:t>c</w:t>
      </w:r>
      <w:r w:rsidRPr="00836EDB">
        <w:rPr>
          <w:bCs/>
          <w:i/>
          <w:iCs/>
          <w:color w:val="000000" w:themeColor="text1"/>
          <w:lang w:val="en-US"/>
        </w:rPr>
        <w:t xml:space="preserve">alculations </w:t>
      </w:r>
    </w:p>
    <w:p w:rsidR="00A258B5" w:rsidRDefault="00A258B5" w:rsidP="00A258B5">
      <w:pPr>
        <w:pStyle w:val="Caption"/>
      </w:pPr>
      <w:r>
        <w:t xml:space="preserve">Table </w:t>
      </w:r>
      <w:fldSimple w:instr=" SEQ Table \* ARABIC ">
        <w:r w:rsidR="00B25544">
          <w:rPr>
            <w:noProof/>
          </w:rPr>
          <w:t>16</w:t>
        </w:r>
      </w:fldSimple>
      <w:r>
        <w:t xml:space="preserve">: </w:t>
      </w:r>
      <w:r w:rsidRPr="00822E21">
        <w:t>Rates of change (%) in number of rooms per household in West Wittering, 2001-2011</w:t>
      </w:r>
    </w:p>
    <w:tbl>
      <w:tblPr>
        <w:tblW w:w="7860" w:type="dxa"/>
        <w:tblInd w:w="98" w:type="dxa"/>
        <w:tblLook w:val="04A0" w:firstRow="1" w:lastRow="0" w:firstColumn="1" w:lastColumn="0" w:noHBand="0" w:noVBand="1"/>
      </w:tblPr>
      <w:tblGrid>
        <w:gridCol w:w="2440"/>
        <w:gridCol w:w="2300"/>
        <w:gridCol w:w="1400"/>
        <w:gridCol w:w="1720"/>
      </w:tblGrid>
      <w:tr w:rsidR="003D18C8" w:rsidRPr="003D18C8" w:rsidTr="003D18C8">
        <w:trPr>
          <w:trHeight w:val="240"/>
        </w:trPr>
        <w:tc>
          <w:tcPr>
            <w:tcW w:w="2440"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3D18C8" w:rsidRPr="003D18C8" w:rsidRDefault="003D18C8" w:rsidP="003D18C8">
            <w:pPr>
              <w:tabs>
                <w:tab w:val="clear" w:pos="284"/>
              </w:tabs>
              <w:spacing w:line="240" w:lineRule="auto"/>
              <w:rPr>
                <w:rFonts w:ascii="Arial" w:eastAsia="Times New Roman" w:hAnsi="Arial" w:cs="Arial"/>
                <w:b/>
                <w:bCs/>
                <w:color w:val="000000"/>
                <w:kern w:val="0"/>
                <w:lang w:eastAsia="en-GB"/>
              </w:rPr>
            </w:pPr>
            <w:r w:rsidRPr="003D18C8">
              <w:rPr>
                <w:rFonts w:ascii="Arial" w:eastAsia="Times New Roman" w:hAnsi="Arial" w:cs="Arial"/>
                <w:b/>
                <w:bCs/>
                <w:color w:val="000000"/>
                <w:kern w:val="0"/>
                <w:lang w:eastAsia="en-GB"/>
              </w:rPr>
              <w:t xml:space="preserve">Number of </w:t>
            </w:r>
            <w:r w:rsidR="00C22531">
              <w:rPr>
                <w:rFonts w:ascii="Arial" w:eastAsia="Times New Roman" w:hAnsi="Arial" w:cs="Arial"/>
                <w:b/>
                <w:bCs/>
                <w:color w:val="000000"/>
                <w:kern w:val="0"/>
                <w:lang w:eastAsia="en-GB"/>
              </w:rPr>
              <w:t>r</w:t>
            </w:r>
            <w:r w:rsidRPr="003D18C8">
              <w:rPr>
                <w:rFonts w:ascii="Arial" w:eastAsia="Times New Roman" w:hAnsi="Arial" w:cs="Arial"/>
                <w:b/>
                <w:bCs/>
                <w:color w:val="000000"/>
                <w:kern w:val="0"/>
                <w:lang w:eastAsia="en-GB"/>
              </w:rPr>
              <w:t>ooms</w:t>
            </w:r>
          </w:p>
        </w:tc>
        <w:tc>
          <w:tcPr>
            <w:tcW w:w="2300" w:type="dxa"/>
            <w:tcBorders>
              <w:top w:val="single" w:sz="8" w:space="0" w:color="auto"/>
              <w:left w:val="nil"/>
              <w:bottom w:val="single" w:sz="4" w:space="0" w:color="auto"/>
              <w:right w:val="single" w:sz="4" w:space="0" w:color="auto"/>
            </w:tcBorders>
            <w:shd w:val="clear" w:color="auto" w:fill="auto"/>
            <w:noWrap/>
            <w:vAlign w:val="bottom"/>
            <w:hideMark/>
          </w:tcPr>
          <w:p w:rsidR="003D18C8" w:rsidRPr="003D18C8" w:rsidRDefault="003D18C8" w:rsidP="003D18C8">
            <w:pPr>
              <w:tabs>
                <w:tab w:val="clear" w:pos="284"/>
              </w:tabs>
              <w:spacing w:line="240" w:lineRule="auto"/>
              <w:rPr>
                <w:rFonts w:ascii="Arial" w:eastAsia="Times New Roman" w:hAnsi="Arial" w:cs="Arial"/>
                <w:b/>
                <w:bCs/>
                <w:color w:val="000000"/>
                <w:kern w:val="0"/>
                <w:lang w:eastAsia="en-GB"/>
              </w:rPr>
            </w:pPr>
            <w:r w:rsidRPr="003D18C8">
              <w:rPr>
                <w:rFonts w:ascii="Arial" w:eastAsia="Times New Roman" w:hAnsi="Arial" w:cs="Arial"/>
                <w:b/>
                <w:bCs/>
                <w:color w:val="000000"/>
                <w:kern w:val="0"/>
                <w:lang w:eastAsia="en-GB"/>
              </w:rPr>
              <w:t>West Wittering</w:t>
            </w:r>
          </w:p>
        </w:tc>
        <w:tc>
          <w:tcPr>
            <w:tcW w:w="1400" w:type="dxa"/>
            <w:tcBorders>
              <w:top w:val="single" w:sz="8" w:space="0" w:color="auto"/>
              <w:left w:val="nil"/>
              <w:bottom w:val="single" w:sz="4" w:space="0" w:color="auto"/>
              <w:right w:val="single" w:sz="4" w:space="0" w:color="auto"/>
            </w:tcBorders>
            <w:shd w:val="clear" w:color="auto" w:fill="auto"/>
            <w:noWrap/>
            <w:vAlign w:val="bottom"/>
            <w:hideMark/>
          </w:tcPr>
          <w:p w:rsidR="003D18C8" w:rsidRPr="003D18C8" w:rsidRDefault="003D18C8" w:rsidP="003D18C8">
            <w:pPr>
              <w:tabs>
                <w:tab w:val="clear" w:pos="284"/>
              </w:tabs>
              <w:spacing w:line="240" w:lineRule="auto"/>
              <w:rPr>
                <w:rFonts w:ascii="Arial" w:eastAsia="Times New Roman" w:hAnsi="Arial" w:cs="Arial"/>
                <w:b/>
                <w:bCs/>
                <w:color w:val="000000"/>
                <w:kern w:val="0"/>
                <w:lang w:eastAsia="en-GB"/>
              </w:rPr>
            </w:pPr>
            <w:r w:rsidRPr="003D18C8">
              <w:rPr>
                <w:rFonts w:ascii="Arial" w:eastAsia="Times New Roman" w:hAnsi="Arial" w:cs="Arial"/>
                <w:b/>
                <w:bCs/>
                <w:color w:val="000000"/>
                <w:kern w:val="0"/>
                <w:lang w:eastAsia="en-GB"/>
              </w:rPr>
              <w:t>Chichester</w:t>
            </w:r>
          </w:p>
        </w:tc>
        <w:tc>
          <w:tcPr>
            <w:tcW w:w="1720" w:type="dxa"/>
            <w:tcBorders>
              <w:top w:val="single" w:sz="8" w:space="0" w:color="auto"/>
              <w:left w:val="nil"/>
              <w:bottom w:val="single" w:sz="4" w:space="0" w:color="auto"/>
              <w:right w:val="single" w:sz="8" w:space="0" w:color="auto"/>
            </w:tcBorders>
            <w:shd w:val="clear" w:color="auto" w:fill="auto"/>
            <w:noWrap/>
            <w:vAlign w:val="bottom"/>
            <w:hideMark/>
          </w:tcPr>
          <w:p w:rsidR="003D18C8" w:rsidRPr="003D18C8" w:rsidRDefault="003D18C8" w:rsidP="003D18C8">
            <w:pPr>
              <w:tabs>
                <w:tab w:val="clear" w:pos="284"/>
              </w:tabs>
              <w:spacing w:line="240" w:lineRule="auto"/>
              <w:rPr>
                <w:rFonts w:ascii="Arial" w:eastAsia="Times New Roman" w:hAnsi="Arial" w:cs="Arial"/>
                <w:b/>
                <w:bCs/>
                <w:color w:val="000000"/>
                <w:kern w:val="0"/>
                <w:lang w:eastAsia="en-GB"/>
              </w:rPr>
            </w:pPr>
            <w:r w:rsidRPr="003D18C8">
              <w:rPr>
                <w:rFonts w:ascii="Arial" w:eastAsia="Times New Roman" w:hAnsi="Arial" w:cs="Arial"/>
                <w:b/>
                <w:bCs/>
                <w:color w:val="000000"/>
                <w:kern w:val="0"/>
                <w:lang w:eastAsia="en-GB"/>
              </w:rPr>
              <w:t>England</w:t>
            </w:r>
          </w:p>
        </w:tc>
      </w:tr>
      <w:tr w:rsidR="003D18C8" w:rsidRPr="003D18C8" w:rsidTr="003D18C8">
        <w:trPr>
          <w:trHeight w:val="228"/>
        </w:trPr>
        <w:tc>
          <w:tcPr>
            <w:tcW w:w="2440" w:type="dxa"/>
            <w:tcBorders>
              <w:top w:val="nil"/>
              <w:left w:val="single" w:sz="8" w:space="0" w:color="auto"/>
              <w:bottom w:val="single" w:sz="4" w:space="0" w:color="auto"/>
              <w:right w:val="single" w:sz="4" w:space="0" w:color="auto"/>
            </w:tcBorders>
            <w:shd w:val="clear" w:color="auto" w:fill="auto"/>
            <w:noWrap/>
            <w:vAlign w:val="bottom"/>
            <w:hideMark/>
          </w:tcPr>
          <w:p w:rsidR="003D18C8" w:rsidRPr="003D18C8" w:rsidRDefault="003D18C8" w:rsidP="003D18C8">
            <w:pPr>
              <w:tabs>
                <w:tab w:val="clear" w:pos="284"/>
              </w:tabs>
              <w:spacing w:line="240" w:lineRule="auto"/>
              <w:rPr>
                <w:rFonts w:ascii="Arial" w:eastAsia="Times New Roman" w:hAnsi="Arial" w:cs="Arial"/>
                <w:color w:val="000000"/>
                <w:kern w:val="0"/>
                <w:lang w:eastAsia="en-GB"/>
              </w:rPr>
            </w:pPr>
            <w:r w:rsidRPr="003D18C8">
              <w:rPr>
                <w:rFonts w:ascii="Arial" w:eastAsia="Times New Roman" w:hAnsi="Arial" w:cs="Arial"/>
                <w:color w:val="000000"/>
                <w:kern w:val="0"/>
                <w:lang w:eastAsia="en-GB"/>
              </w:rPr>
              <w:t>1 Room</w:t>
            </w:r>
          </w:p>
        </w:tc>
        <w:tc>
          <w:tcPr>
            <w:tcW w:w="2300" w:type="dxa"/>
            <w:tcBorders>
              <w:top w:val="nil"/>
              <w:left w:val="nil"/>
              <w:bottom w:val="single" w:sz="4" w:space="0" w:color="auto"/>
              <w:right w:val="single" w:sz="4" w:space="0" w:color="auto"/>
            </w:tcBorders>
            <w:shd w:val="clear" w:color="auto" w:fill="auto"/>
            <w:noWrap/>
            <w:vAlign w:val="bottom"/>
            <w:hideMark/>
          </w:tcPr>
          <w:p w:rsidR="003D18C8" w:rsidRPr="003D18C8" w:rsidRDefault="003D18C8" w:rsidP="003D18C8">
            <w:pPr>
              <w:tabs>
                <w:tab w:val="clear" w:pos="284"/>
              </w:tabs>
              <w:spacing w:line="240" w:lineRule="auto"/>
              <w:jc w:val="right"/>
              <w:rPr>
                <w:rFonts w:ascii="Arial" w:eastAsia="Times New Roman" w:hAnsi="Arial" w:cs="Arial"/>
                <w:color w:val="000000"/>
                <w:kern w:val="0"/>
                <w:lang w:eastAsia="en-GB"/>
              </w:rPr>
            </w:pPr>
            <w:r w:rsidRPr="003D18C8">
              <w:rPr>
                <w:rFonts w:ascii="Arial" w:eastAsia="Times New Roman" w:hAnsi="Arial" w:cs="Arial"/>
                <w:color w:val="000000"/>
                <w:kern w:val="0"/>
                <w:lang w:eastAsia="en-GB"/>
              </w:rPr>
              <w:t>-33.3%</w:t>
            </w:r>
          </w:p>
        </w:tc>
        <w:tc>
          <w:tcPr>
            <w:tcW w:w="1400" w:type="dxa"/>
            <w:tcBorders>
              <w:top w:val="nil"/>
              <w:left w:val="nil"/>
              <w:bottom w:val="single" w:sz="4" w:space="0" w:color="auto"/>
              <w:right w:val="single" w:sz="4" w:space="0" w:color="auto"/>
            </w:tcBorders>
            <w:shd w:val="clear" w:color="auto" w:fill="auto"/>
            <w:noWrap/>
            <w:vAlign w:val="bottom"/>
            <w:hideMark/>
          </w:tcPr>
          <w:p w:rsidR="003D18C8" w:rsidRPr="003D18C8" w:rsidRDefault="003D18C8" w:rsidP="003D18C8">
            <w:pPr>
              <w:tabs>
                <w:tab w:val="clear" w:pos="284"/>
              </w:tabs>
              <w:spacing w:line="240" w:lineRule="auto"/>
              <w:jc w:val="right"/>
              <w:rPr>
                <w:rFonts w:ascii="Arial" w:eastAsia="Times New Roman" w:hAnsi="Arial" w:cs="Arial"/>
                <w:color w:val="000000"/>
                <w:kern w:val="0"/>
                <w:lang w:eastAsia="en-GB"/>
              </w:rPr>
            </w:pPr>
            <w:r w:rsidRPr="003D18C8">
              <w:rPr>
                <w:rFonts w:ascii="Arial" w:eastAsia="Times New Roman" w:hAnsi="Arial" w:cs="Arial"/>
                <w:color w:val="000000"/>
                <w:kern w:val="0"/>
                <w:lang w:eastAsia="en-GB"/>
              </w:rPr>
              <w:t>-23.2%</w:t>
            </w:r>
          </w:p>
        </w:tc>
        <w:tc>
          <w:tcPr>
            <w:tcW w:w="1720" w:type="dxa"/>
            <w:tcBorders>
              <w:top w:val="nil"/>
              <w:left w:val="nil"/>
              <w:bottom w:val="single" w:sz="4" w:space="0" w:color="auto"/>
              <w:right w:val="single" w:sz="8" w:space="0" w:color="auto"/>
            </w:tcBorders>
            <w:shd w:val="clear" w:color="auto" w:fill="auto"/>
            <w:noWrap/>
            <w:vAlign w:val="bottom"/>
            <w:hideMark/>
          </w:tcPr>
          <w:p w:rsidR="003D18C8" w:rsidRPr="003D18C8" w:rsidRDefault="003D18C8" w:rsidP="003D18C8">
            <w:pPr>
              <w:tabs>
                <w:tab w:val="clear" w:pos="284"/>
              </w:tabs>
              <w:spacing w:line="240" w:lineRule="auto"/>
              <w:jc w:val="right"/>
              <w:rPr>
                <w:rFonts w:ascii="Arial" w:eastAsia="Times New Roman" w:hAnsi="Arial" w:cs="Arial"/>
                <w:color w:val="000000"/>
                <w:kern w:val="0"/>
                <w:lang w:eastAsia="en-GB"/>
              </w:rPr>
            </w:pPr>
            <w:r w:rsidRPr="003D18C8">
              <w:rPr>
                <w:rFonts w:ascii="Arial" w:eastAsia="Times New Roman" w:hAnsi="Arial" w:cs="Arial"/>
                <w:color w:val="000000"/>
                <w:kern w:val="0"/>
                <w:lang w:eastAsia="en-GB"/>
              </w:rPr>
              <w:t>-5.2%</w:t>
            </w:r>
          </w:p>
        </w:tc>
      </w:tr>
      <w:tr w:rsidR="003D18C8" w:rsidRPr="003D18C8" w:rsidTr="003D18C8">
        <w:trPr>
          <w:trHeight w:val="228"/>
        </w:trPr>
        <w:tc>
          <w:tcPr>
            <w:tcW w:w="2440" w:type="dxa"/>
            <w:tcBorders>
              <w:top w:val="nil"/>
              <w:left w:val="single" w:sz="8" w:space="0" w:color="auto"/>
              <w:bottom w:val="single" w:sz="4" w:space="0" w:color="auto"/>
              <w:right w:val="single" w:sz="4" w:space="0" w:color="auto"/>
            </w:tcBorders>
            <w:shd w:val="clear" w:color="auto" w:fill="auto"/>
            <w:noWrap/>
            <w:vAlign w:val="bottom"/>
            <w:hideMark/>
          </w:tcPr>
          <w:p w:rsidR="003D18C8" w:rsidRPr="003D18C8" w:rsidRDefault="003D18C8" w:rsidP="003D18C8">
            <w:pPr>
              <w:tabs>
                <w:tab w:val="clear" w:pos="284"/>
              </w:tabs>
              <w:spacing w:line="240" w:lineRule="auto"/>
              <w:rPr>
                <w:rFonts w:ascii="Arial" w:eastAsia="Times New Roman" w:hAnsi="Arial" w:cs="Arial"/>
                <w:color w:val="000000"/>
                <w:kern w:val="0"/>
                <w:lang w:eastAsia="en-GB"/>
              </w:rPr>
            </w:pPr>
            <w:r w:rsidRPr="003D18C8">
              <w:rPr>
                <w:rFonts w:ascii="Arial" w:eastAsia="Times New Roman" w:hAnsi="Arial" w:cs="Arial"/>
                <w:color w:val="000000"/>
                <w:kern w:val="0"/>
                <w:lang w:eastAsia="en-GB"/>
              </w:rPr>
              <w:t>2 Rooms</w:t>
            </w:r>
          </w:p>
        </w:tc>
        <w:tc>
          <w:tcPr>
            <w:tcW w:w="2300" w:type="dxa"/>
            <w:tcBorders>
              <w:top w:val="nil"/>
              <w:left w:val="nil"/>
              <w:bottom w:val="single" w:sz="4" w:space="0" w:color="auto"/>
              <w:right w:val="single" w:sz="4" w:space="0" w:color="auto"/>
            </w:tcBorders>
            <w:shd w:val="clear" w:color="auto" w:fill="auto"/>
            <w:noWrap/>
            <w:vAlign w:val="bottom"/>
            <w:hideMark/>
          </w:tcPr>
          <w:p w:rsidR="003D18C8" w:rsidRPr="003D18C8" w:rsidRDefault="003D18C8" w:rsidP="003D18C8">
            <w:pPr>
              <w:tabs>
                <w:tab w:val="clear" w:pos="284"/>
              </w:tabs>
              <w:spacing w:line="240" w:lineRule="auto"/>
              <w:jc w:val="right"/>
              <w:rPr>
                <w:rFonts w:ascii="Arial" w:eastAsia="Times New Roman" w:hAnsi="Arial" w:cs="Arial"/>
                <w:color w:val="000000"/>
                <w:kern w:val="0"/>
                <w:lang w:eastAsia="en-GB"/>
              </w:rPr>
            </w:pPr>
            <w:r w:rsidRPr="003D18C8">
              <w:rPr>
                <w:rFonts w:ascii="Arial" w:eastAsia="Times New Roman" w:hAnsi="Arial" w:cs="Arial"/>
                <w:color w:val="000000"/>
                <w:kern w:val="0"/>
                <w:lang w:eastAsia="en-GB"/>
              </w:rPr>
              <w:t>100.0%</w:t>
            </w:r>
          </w:p>
        </w:tc>
        <w:tc>
          <w:tcPr>
            <w:tcW w:w="1400" w:type="dxa"/>
            <w:tcBorders>
              <w:top w:val="nil"/>
              <w:left w:val="nil"/>
              <w:bottom w:val="single" w:sz="4" w:space="0" w:color="auto"/>
              <w:right w:val="single" w:sz="4" w:space="0" w:color="auto"/>
            </w:tcBorders>
            <w:shd w:val="clear" w:color="auto" w:fill="auto"/>
            <w:noWrap/>
            <w:vAlign w:val="bottom"/>
            <w:hideMark/>
          </w:tcPr>
          <w:p w:rsidR="003D18C8" w:rsidRPr="003D18C8" w:rsidRDefault="003D18C8" w:rsidP="003D18C8">
            <w:pPr>
              <w:tabs>
                <w:tab w:val="clear" w:pos="284"/>
              </w:tabs>
              <w:spacing w:line="240" w:lineRule="auto"/>
              <w:jc w:val="right"/>
              <w:rPr>
                <w:rFonts w:ascii="Arial" w:eastAsia="Times New Roman" w:hAnsi="Arial" w:cs="Arial"/>
                <w:color w:val="000000"/>
                <w:kern w:val="0"/>
                <w:lang w:eastAsia="en-GB"/>
              </w:rPr>
            </w:pPr>
            <w:r w:rsidRPr="003D18C8">
              <w:rPr>
                <w:rFonts w:ascii="Arial" w:eastAsia="Times New Roman" w:hAnsi="Arial" w:cs="Arial"/>
                <w:color w:val="000000"/>
                <w:kern w:val="0"/>
                <w:lang w:eastAsia="en-GB"/>
              </w:rPr>
              <w:t>31.6%</w:t>
            </w:r>
          </w:p>
        </w:tc>
        <w:tc>
          <w:tcPr>
            <w:tcW w:w="1720" w:type="dxa"/>
            <w:tcBorders>
              <w:top w:val="nil"/>
              <w:left w:val="nil"/>
              <w:bottom w:val="single" w:sz="4" w:space="0" w:color="auto"/>
              <w:right w:val="single" w:sz="8" w:space="0" w:color="auto"/>
            </w:tcBorders>
            <w:shd w:val="clear" w:color="auto" w:fill="auto"/>
            <w:noWrap/>
            <w:vAlign w:val="bottom"/>
            <w:hideMark/>
          </w:tcPr>
          <w:p w:rsidR="003D18C8" w:rsidRPr="003D18C8" w:rsidRDefault="003D18C8" w:rsidP="003D18C8">
            <w:pPr>
              <w:tabs>
                <w:tab w:val="clear" w:pos="284"/>
              </w:tabs>
              <w:spacing w:line="240" w:lineRule="auto"/>
              <w:jc w:val="right"/>
              <w:rPr>
                <w:rFonts w:ascii="Arial" w:eastAsia="Times New Roman" w:hAnsi="Arial" w:cs="Arial"/>
                <w:color w:val="000000"/>
                <w:kern w:val="0"/>
                <w:lang w:eastAsia="en-GB"/>
              </w:rPr>
            </w:pPr>
            <w:r w:rsidRPr="003D18C8">
              <w:rPr>
                <w:rFonts w:ascii="Arial" w:eastAsia="Times New Roman" w:hAnsi="Arial" w:cs="Arial"/>
                <w:color w:val="000000"/>
                <w:kern w:val="0"/>
                <w:lang w:eastAsia="en-GB"/>
              </w:rPr>
              <w:t>24.2%</w:t>
            </w:r>
          </w:p>
        </w:tc>
      </w:tr>
      <w:tr w:rsidR="003D18C8" w:rsidRPr="003D18C8" w:rsidTr="003D18C8">
        <w:trPr>
          <w:trHeight w:val="228"/>
        </w:trPr>
        <w:tc>
          <w:tcPr>
            <w:tcW w:w="2440" w:type="dxa"/>
            <w:tcBorders>
              <w:top w:val="nil"/>
              <w:left w:val="single" w:sz="8" w:space="0" w:color="auto"/>
              <w:bottom w:val="single" w:sz="4" w:space="0" w:color="auto"/>
              <w:right w:val="single" w:sz="4" w:space="0" w:color="auto"/>
            </w:tcBorders>
            <w:shd w:val="clear" w:color="auto" w:fill="auto"/>
            <w:noWrap/>
            <w:vAlign w:val="bottom"/>
            <w:hideMark/>
          </w:tcPr>
          <w:p w:rsidR="003D18C8" w:rsidRPr="003D18C8" w:rsidRDefault="003D18C8" w:rsidP="003D18C8">
            <w:pPr>
              <w:tabs>
                <w:tab w:val="clear" w:pos="284"/>
              </w:tabs>
              <w:spacing w:line="240" w:lineRule="auto"/>
              <w:rPr>
                <w:rFonts w:ascii="Arial" w:eastAsia="Times New Roman" w:hAnsi="Arial" w:cs="Arial"/>
                <w:color w:val="000000"/>
                <w:kern w:val="0"/>
                <w:lang w:eastAsia="en-GB"/>
              </w:rPr>
            </w:pPr>
            <w:r w:rsidRPr="003D18C8">
              <w:rPr>
                <w:rFonts w:ascii="Arial" w:eastAsia="Times New Roman" w:hAnsi="Arial" w:cs="Arial"/>
                <w:color w:val="000000"/>
                <w:kern w:val="0"/>
                <w:lang w:eastAsia="en-GB"/>
              </w:rPr>
              <w:t>3 Rooms</w:t>
            </w:r>
          </w:p>
        </w:tc>
        <w:tc>
          <w:tcPr>
            <w:tcW w:w="2300" w:type="dxa"/>
            <w:tcBorders>
              <w:top w:val="nil"/>
              <w:left w:val="nil"/>
              <w:bottom w:val="single" w:sz="4" w:space="0" w:color="auto"/>
              <w:right w:val="single" w:sz="4" w:space="0" w:color="auto"/>
            </w:tcBorders>
            <w:shd w:val="clear" w:color="auto" w:fill="auto"/>
            <w:noWrap/>
            <w:vAlign w:val="bottom"/>
            <w:hideMark/>
          </w:tcPr>
          <w:p w:rsidR="003D18C8" w:rsidRPr="003D18C8" w:rsidRDefault="003D18C8" w:rsidP="003D18C8">
            <w:pPr>
              <w:tabs>
                <w:tab w:val="clear" w:pos="284"/>
              </w:tabs>
              <w:spacing w:line="240" w:lineRule="auto"/>
              <w:jc w:val="right"/>
              <w:rPr>
                <w:rFonts w:ascii="Arial" w:eastAsia="Times New Roman" w:hAnsi="Arial" w:cs="Arial"/>
                <w:color w:val="000000"/>
                <w:kern w:val="0"/>
                <w:lang w:eastAsia="en-GB"/>
              </w:rPr>
            </w:pPr>
            <w:r w:rsidRPr="003D18C8">
              <w:rPr>
                <w:rFonts w:ascii="Arial" w:eastAsia="Times New Roman" w:hAnsi="Arial" w:cs="Arial"/>
                <w:color w:val="000000"/>
                <w:kern w:val="0"/>
                <w:lang w:eastAsia="en-GB"/>
              </w:rPr>
              <w:t>104.2%</w:t>
            </w:r>
          </w:p>
        </w:tc>
        <w:tc>
          <w:tcPr>
            <w:tcW w:w="1400" w:type="dxa"/>
            <w:tcBorders>
              <w:top w:val="nil"/>
              <w:left w:val="nil"/>
              <w:bottom w:val="single" w:sz="4" w:space="0" w:color="auto"/>
              <w:right w:val="single" w:sz="4" w:space="0" w:color="auto"/>
            </w:tcBorders>
            <w:shd w:val="clear" w:color="auto" w:fill="auto"/>
            <w:noWrap/>
            <w:vAlign w:val="bottom"/>
            <w:hideMark/>
          </w:tcPr>
          <w:p w:rsidR="003D18C8" w:rsidRPr="003D18C8" w:rsidRDefault="003D18C8" w:rsidP="003D18C8">
            <w:pPr>
              <w:tabs>
                <w:tab w:val="clear" w:pos="284"/>
              </w:tabs>
              <w:spacing w:line="240" w:lineRule="auto"/>
              <w:jc w:val="right"/>
              <w:rPr>
                <w:rFonts w:ascii="Arial" w:eastAsia="Times New Roman" w:hAnsi="Arial" w:cs="Arial"/>
                <w:color w:val="000000"/>
                <w:kern w:val="0"/>
                <w:lang w:eastAsia="en-GB"/>
              </w:rPr>
            </w:pPr>
            <w:r w:rsidRPr="003D18C8">
              <w:rPr>
                <w:rFonts w:ascii="Arial" w:eastAsia="Times New Roman" w:hAnsi="Arial" w:cs="Arial"/>
                <w:color w:val="000000"/>
                <w:kern w:val="0"/>
                <w:lang w:eastAsia="en-GB"/>
              </w:rPr>
              <w:t>23.0%</w:t>
            </w:r>
          </w:p>
        </w:tc>
        <w:tc>
          <w:tcPr>
            <w:tcW w:w="1720" w:type="dxa"/>
            <w:tcBorders>
              <w:top w:val="nil"/>
              <w:left w:val="nil"/>
              <w:bottom w:val="single" w:sz="4" w:space="0" w:color="auto"/>
              <w:right w:val="single" w:sz="8" w:space="0" w:color="auto"/>
            </w:tcBorders>
            <w:shd w:val="clear" w:color="auto" w:fill="auto"/>
            <w:noWrap/>
            <w:vAlign w:val="bottom"/>
            <w:hideMark/>
          </w:tcPr>
          <w:p w:rsidR="003D18C8" w:rsidRPr="003D18C8" w:rsidRDefault="003D18C8" w:rsidP="003D18C8">
            <w:pPr>
              <w:tabs>
                <w:tab w:val="clear" w:pos="284"/>
              </w:tabs>
              <w:spacing w:line="240" w:lineRule="auto"/>
              <w:jc w:val="right"/>
              <w:rPr>
                <w:rFonts w:ascii="Arial" w:eastAsia="Times New Roman" w:hAnsi="Arial" w:cs="Arial"/>
                <w:color w:val="000000"/>
                <w:kern w:val="0"/>
                <w:lang w:eastAsia="en-GB"/>
              </w:rPr>
            </w:pPr>
            <w:r w:rsidRPr="003D18C8">
              <w:rPr>
                <w:rFonts w:ascii="Arial" w:eastAsia="Times New Roman" w:hAnsi="Arial" w:cs="Arial"/>
                <w:color w:val="000000"/>
                <w:kern w:val="0"/>
                <w:lang w:eastAsia="en-GB"/>
              </w:rPr>
              <w:t>20.4%</w:t>
            </w:r>
          </w:p>
        </w:tc>
      </w:tr>
      <w:tr w:rsidR="003D18C8" w:rsidRPr="003D18C8" w:rsidTr="003D18C8">
        <w:trPr>
          <w:trHeight w:val="228"/>
        </w:trPr>
        <w:tc>
          <w:tcPr>
            <w:tcW w:w="2440" w:type="dxa"/>
            <w:tcBorders>
              <w:top w:val="nil"/>
              <w:left w:val="single" w:sz="8" w:space="0" w:color="auto"/>
              <w:bottom w:val="single" w:sz="4" w:space="0" w:color="auto"/>
              <w:right w:val="single" w:sz="4" w:space="0" w:color="auto"/>
            </w:tcBorders>
            <w:shd w:val="clear" w:color="auto" w:fill="auto"/>
            <w:noWrap/>
            <w:vAlign w:val="bottom"/>
            <w:hideMark/>
          </w:tcPr>
          <w:p w:rsidR="003D18C8" w:rsidRPr="003D18C8" w:rsidRDefault="003D18C8" w:rsidP="003D18C8">
            <w:pPr>
              <w:tabs>
                <w:tab w:val="clear" w:pos="284"/>
              </w:tabs>
              <w:spacing w:line="240" w:lineRule="auto"/>
              <w:rPr>
                <w:rFonts w:ascii="Arial" w:eastAsia="Times New Roman" w:hAnsi="Arial" w:cs="Arial"/>
                <w:color w:val="000000"/>
                <w:kern w:val="0"/>
                <w:lang w:eastAsia="en-GB"/>
              </w:rPr>
            </w:pPr>
            <w:r w:rsidRPr="003D18C8">
              <w:rPr>
                <w:rFonts w:ascii="Arial" w:eastAsia="Times New Roman" w:hAnsi="Arial" w:cs="Arial"/>
                <w:color w:val="000000"/>
                <w:kern w:val="0"/>
                <w:lang w:eastAsia="en-GB"/>
              </w:rPr>
              <w:t>4 Rooms</w:t>
            </w:r>
          </w:p>
        </w:tc>
        <w:tc>
          <w:tcPr>
            <w:tcW w:w="2300" w:type="dxa"/>
            <w:tcBorders>
              <w:top w:val="nil"/>
              <w:left w:val="nil"/>
              <w:bottom w:val="single" w:sz="4" w:space="0" w:color="auto"/>
              <w:right w:val="single" w:sz="4" w:space="0" w:color="auto"/>
            </w:tcBorders>
            <w:shd w:val="clear" w:color="auto" w:fill="auto"/>
            <w:noWrap/>
            <w:vAlign w:val="bottom"/>
            <w:hideMark/>
          </w:tcPr>
          <w:p w:rsidR="003D18C8" w:rsidRPr="003D18C8" w:rsidRDefault="003D18C8" w:rsidP="003D18C8">
            <w:pPr>
              <w:tabs>
                <w:tab w:val="clear" w:pos="284"/>
              </w:tabs>
              <w:spacing w:line="240" w:lineRule="auto"/>
              <w:jc w:val="right"/>
              <w:rPr>
                <w:rFonts w:ascii="Arial" w:eastAsia="Times New Roman" w:hAnsi="Arial" w:cs="Arial"/>
                <w:color w:val="000000"/>
                <w:kern w:val="0"/>
                <w:lang w:eastAsia="en-GB"/>
              </w:rPr>
            </w:pPr>
            <w:r w:rsidRPr="003D18C8">
              <w:rPr>
                <w:rFonts w:ascii="Arial" w:eastAsia="Times New Roman" w:hAnsi="Arial" w:cs="Arial"/>
                <w:color w:val="000000"/>
                <w:kern w:val="0"/>
                <w:lang w:eastAsia="en-GB"/>
              </w:rPr>
              <w:t>-22.7%</w:t>
            </w:r>
          </w:p>
        </w:tc>
        <w:tc>
          <w:tcPr>
            <w:tcW w:w="1400" w:type="dxa"/>
            <w:tcBorders>
              <w:top w:val="nil"/>
              <w:left w:val="nil"/>
              <w:bottom w:val="single" w:sz="4" w:space="0" w:color="auto"/>
              <w:right w:val="single" w:sz="4" w:space="0" w:color="auto"/>
            </w:tcBorders>
            <w:shd w:val="clear" w:color="auto" w:fill="auto"/>
            <w:noWrap/>
            <w:vAlign w:val="bottom"/>
            <w:hideMark/>
          </w:tcPr>
          <w:p w:rsidR="003D18C8" w:rsidRPr="003D18C8" w:rsidRDefault="003D18C8" w:rsidP="003D18C8">
            <w:pPr>
              <w:tabs>
                <w:tab w:val="clear" w:pos="284"/>
              </w:tabs>
              <w:spacing w:line="240" w:lineRule="auto"/>
              <w:jc w:val="right"/>
              <w:rPr>
                <w:rFonts w:ascii="Arial" w:eastAsia="Times New Roman" w:hAnsi="Arial" w:cs="Arial"/>
                <w:color w:val="000000"/>
                <w:kern w:val="0"/>
                <w:lang w:eastAsia="en-GB"/>
              </w:rPr>
            </w:pPr>
            <w:r w:rsidRPr="003D18C8">
              <w:rPr>
                <w:rFonts w:ascii="Arial" w:eastAsia="Times New Roman" w:hAnsi="Arial" w:cs="Arial"/>
                <w:color w:val="000000"/>
                <w:kern w:val="0"/>
                <w:lang w:eastAsia="en-GB"/>
              </w:rPr>
              <w:t>1.6%</w:t>
            </w:r>
          </w:p>
        </w:tc>
        <w:tc>
          <w:tcPr>
            <w:tcW w:w="1720" w:type="dxa"/>
            <w:tcBorders>
              <w:top w:val="nil"/>
              <w:left w:val="nil"/>
              <w:bottom w:val="single" w:sz="4" w:space="0" w:color="auto"/>
              <w:right w:val="single" w:sz="8" w:space="0" w:color="auto"/>
            </w:tcBorders>
            <w:shd w:val="clear" w:color="auto" w:fill="auto"/>
            <w:noWrap/>
            <w:vAlign w:val="bottom"/>
            <w:hideMark/>
          </w:tcPr>
          <w:p w:rsidR="003D18C8" w:rsidRPr="003D18C8" w:rsidRDefault="003D18C8" w:rsidP="003D18C8">
            <w:pPr>
              <w:tabs>
                <w:tab w:val="clear" w:pos="284"/>
              </w:tabs>
              <w:spacing w:line="240" w:lineRule="auto"/>
              <w:jc w:val="right"/>
              <w:rPr>
                <w:rFonts w:ascii="Arial" w:eastAsia="Times New Roman" w:hAnsi="Arial" w:cs="Arial"/>
                <w:color w:val="000000"/>
                <w:kern w:val="0"/>
                <w:lang w:eastAsia="en-GB"/>
              </w:rPr>
            </w:pPr>
            <w:r w:rsidRPr="003D18C8">
              <w:rPr>
                <w:rFonts w:ascii="Arial" w:eastAsia="Times New Roman" w:hAnsi="Arial" w:cs="Arial"/>
                <w:color w:val="000000"/>
                <w:kern w:val="0"/>
                <w:lang w:eastAsia="en-GB"/>
              </w:rPr>
              <w:t>3.5%</w:t>
            </w:r>
          </w:p>
        </w:tc>
      </w:tr>
      <w:tr w:rsidR="003D18C8" w:rsidRPr="003D18C8" w:rsidTr="003D18C8">
        <w:trPr>
          <w:trHeight w:val="228"/>
        </w:trPr>
        <w:tc>
          <w:tcPr>
            <w:tcW w:w="2440" w:type="dxa"/>
            <w:tcBorders>
              <w:top w:val="nil"/>
              <w:left w:val="single" w:sz="8" w:space="0" w:color="auto"/>
              <w:bottom w:val="single" w:sz="4" w:space="0" w:color="auto"/>
              <w:right w:val="single" w:sz="4" w:space="0" w:color="auto"/>
            </w:tcBorders>
            <w:shd w:val="clear" w:color="auto" w:fill="auto"/>
            <w:noWrap/>
            <w:vAlign w:val="bottom"/>
            <w:hideMark/>
          </w:tcPr>
          <w:p w:rsidR="003D18C8" w:rsidRPr="003D18C8" w:rsidRDefault="003D18C8" w:rsidP="003D18C8">
            <w:pPr>
              <w:tabs>
                <w:tab w:val="clear" w:pos="284"/>
              </w:tabs>
              <w:spacing w:line="240" w:lineRule="auto"/>
              <w:rPr>
                <w:rFonts w:ascii="Arial" w:eastAsia="Times New Roman" w:hAnsi="Arial" w:cs="Arial"/>
                <w:color w:val="000000"/>
                <w:kern w:val="0"/>
                <w:lang w:eastAsia="en-GB"/>
              </w:rPr>
            </w:pPr>
            <w:r w:rsidRPr="003D18C8">
              <w:rPr>
                <w:rFonts w:ascii="Arial" w:eastAsia="Times New Roman" w:hAnsi="Arial" w:cs="Arial"/>
                <w:color w:val="000000"/>
                <w:kern w:val="0"/>
                <w:lang w:eastAsia="en-GB"/>
              </w:rPr>
              <w:t>5 Rooms</w:t>
            </w:r>
          </w:p>
        </w:tc>
        <w:tc>
          <w:tcPr>
            <w:tcW w:w="2300" w:type="dxa"/>
            <w:tcBorders>
              <w:top w:val="nil"/>
              <w:left w:val="nil"/>
              <w:bottom w:val="single" w:sz="4" w:space="0" w:color="auto"/>
              <w:right w:val="single" w:sz="4" w:space="0" w:color="auto"/>
            </w:tcBorders>
            <w:shd w:val="clear" w:color="auto" w:fill="auto"/>
            <w:noWrap/>
            <w:vAlign w:val="bottom"/>
            <w:hideMark/>
          </w:tcPr>
          <w:p w:rsidR="003D18C8" w:rsidRPr="003D18C8" w:rsidRDefault="003D18C8" w:rsidP="003D18C8">
            <w:pPr>
              <w:tabs>
                <w:tab w:val="clear" w:pos="284"/>
              </w:tabs>
              <w:spacing w:line="240" w:lineRule="auto"/>
              <w:jc w:val="right"/>
              <w:rPr>
                <w:rFonts w:ascii="Arial" w:eastAsia="Times New Roman" w:hAnsi="Arial" w:cs="Arial"/>
                <w:color w:val="000000"/>
                <w:kern w:val="0"/>
                <w:lang w:eastAsia="en-GB"/>
              </w:rPr>
            </w:pPr>
            <w:r w:rsidRPr="003D18C8">
              <w:rPr>
                <w:rFonts w:ascii="Arial" w:eastAsia="Times New Roman" w:hAnsi="Arial" w:cs="Arial"/>
                <w:color w:val="000000"/>
                <w:kern w:val="0"/>
                <w:lang w:eastAsia="en-GB"/>
              </w:rPr>
              <w:t>-3.9%</w:t>
            </w:r>
          </w:p>
        </w:tc>
        <w:tc>
          <w:tcPr>
            <w:tcW w:w="1400" w:type="dxa"/>
            <w:tcBorders>
              <w:top w:val="nil"/>
              <w:left w:val="nil"/>
              <w:bottom w:val="single" w:sz="4" w:space="0" w:color="auto"/>
              <w:right w:val="single" w:sz="4" w:space="0" w:color="auto"/>
            </w:tcBorders>
            <w:shd w:val="clear" w:color="auto" w:fill="auto"/>
            <w:noWrap/>
            <w:vAlign w:val="bottom"/>
            <w:hideMark/>
          </w:tcPr>
          <w:p w:rsidR="003D18C8" w:rsidRPr="003D18C8" w:rsidRDefault="003D18C8" w:rsidP="003D18C8">
            <w:pPr>
              <w:tabs>
                <w:tab w:val="clear" w:pos="284"/>
              </w:tabs>
              <w:spacing w:line="240" w:lineRule="auto"/>
              <w:jc w:val="right"/>
              <w:rPr>
                <w:rFonts w:ascii="Arial" w:eastAsia="Times New Roman" w:hAnsi="Arial" w:cs="Arial"/>
                <w:color w:val="000000"/>
                <w:kern w:val="0"/>
                <w:lang w:eastAsia="en-GB"/>
              </w:rPr>
            </w:pPr>
            <w:r w:rsidRPr="003D18C8">
              <w:rPr>
                <w:rFonts w:ascii="Arial" w:eastAsia="Times New Roman" w:hAnsi="Arial" w:cs="Arial"/>
                <w:color w:val="000000"/>
                <w:kern w:val="0"/>
                <w:lang w:eastAsia="en-GB"/>
              </w:rPr>
              <w:t>-2.5%</w:t>
            </w:r>
          </w:p>
        </w:tc>
        <w:tc>
          <w:tcPr>
            <w:tcW w:w="1720" w:type="dxa"/>
            <w:tcBorders>
              <w:top w:val="nil"/>
              <w:left w:val="nil"/>
              <w:bottom w:val="single" w:sz="4" w:space="0" w:color="auto"/>
              <w:right w:val="single" w:sz="8" w:space="0" w:color="auto"/>
            </w:tcBorders>
            <w:shd w:val="clear" w:color="auto" w:fill="auto"/>
            <w:noWrap/>
            <w:vAlign w:val="bottom"/>
            <w:hideMark/>
          </w:tcPr>
          <w:p w:rsidR="003D18C8" w:rsidRPr="003D18C8" w:rsidRDefault="003D18C8" w:rsidP="003D18C8">
            <w:pPr>
              <w:tabs>
                <w:tab w:val="clear" w:pos="284"/>
              </w:tabs>
              <w:spacing w:line="240" w:lineRule="auto"/>
              <w:jc w:val="right"/>
              <w:rPr>
                <w:rFonts w:ascii="Arial" w:eastAsia="Times New Roman" w:hAnsi="Arial" w:cs="Arial"/>
                <w:color w:val="000000"/>
                <w:kern w:val="0"/>
                <w:lang w:eastAsia="en-GB"/>
              </w:rPr>
            </w:pPr>
            <w:r w:rsidRPr="003D18C8">
              <w:rPr>
                <w:rFonts w:ascii="Arial" w:eastAsia="Times New Roman" w:hAnsi="Arial" w:cs="Arial"/>
                <w:color w:val="000000"/>
                <w:kern w:val="0"/>
                <w:lang w:eastAsia="en-GB"/>
              </w:rPr>
              <w:t>-1.8%</w:t>
            </w:r>
          </w:p>
        </w:tc>
      </w:tr>
      <w:tr w:rsidR="003D18C8" w:rsidRPr="003D18C8" w:rsidTr="003D18C8">
        <w:trPr>
          <w:trHeight w:val="228"/>
        </w:trPr>
        <w:tc>
          <w:tcPr>
            <w:tcW w:w="2440" w:type="dxa"/>
            <w:tcBorders>
              <w:top w:val="nil"/>
              <w:left w:val="single" w:sz="8" w:space="0" w:color="auto"/>
              <w:bottom w:val="single" w:sz="4" w:space="0" w:color="auto"/>
              <w:right w:val="single" w:sz="4" w:space="0" w:color="auto"/>
            </w:tcBorders>
            <w:shd w:val="clear" w:color="auto" w:fill="auto"/>
            <w:noWrap/>
            <w:vAlign w:val="bottom"/>
            <w:hideMark/>
          </w:tcPr>
          <w:p w:rsidR="003D18C8" w:rsidRPr="003D18C8" w:rsidRDefault="003D18C8" w:rsidP="003D18C8">
            <w:pPr>
              <w:tabs>
                <w:tab w:val="clear" w:pos="284"/>
              </w:tabs>
              <w:spacing w:line="240" w:lineRule="auto"/>
              <w:rPr>
                <w:rFonts w:ascii="Arial" w:eastAsia="Times New Roman" w:hAnsi="Arial" w:cs="Arial"/>
                <w:color w:val="000000"/>
                <w:kern w:val="0"/>
                <w:lang w:eastAsia="en-GB"/>
              </w:rPr>
            </w:pPr>
            <w:r w:rsidRPr="003D18C8">
              <w:rPr>
                <w:rFonts w:ascii="Arial" w:eastAsia="Times New Roman" w:hAnsi="Arial" w:cs="Arial"/>
                <w:color w:val="000000"/>
                <w:kern w:val="0"/>
                <w:lang w:eastAsia="en-GB"/>
              </w:rPr>
              <w:t>6 Rooms</w:t>
            </w:r>
          </w:p>
        </w:tc>
        <w:tc>
          <w:tcPr>
            <w:tcW w:w="2300" w:type="dxa"/>
            <w:tcBorders>
              <w:top w:val="nil"/>
              <w:left w:val="nil"/>
              <w:bottom w:val="single" w:sz="4" w:space="0" w:color="auto"/>
              <w:right w:val="single" w:sz="4" w:space="0" w:color="auto"/>
            </w:tcBorders>
            <w:shd w:val="clear" w:color="auto" w:fill="auto"/>
            <w:noWrap/>
            <w:vAlign w:val="bottom"/>
            <w:hideMark/>
          </w:tcPr>
          <w:p w:rsidR="003D18C8" w:rsidRPr="003D18C8" w:rsidRDefault="003D18C8" w:rsidP="003D18C8">
            <w:pPr>
              <w:tabs>
                <w:tab w:val="clear" w:pos="284"/>
              </w:tabs>
              <w:spacing w:line="240" w:lineRule="auto"/>
              <w:jc w:val="right"/>
              <w:rPr>
                <w:rFonts w:ascii="Arial" w:eastAsia="Times New Roman" w:hAnsi="Arial" w:cs="Arial"/>
                <w:color w:val="000000"/>
                <w:kern w:val="0"/>
                <w:lang w:eastAsia="en-GB"/>
              </w:rPr>
            </w:pPr>
            <w:r w:rsidRPr="003D18C8">
              <w:rPr>
                <w:rFonts w:ascii="Arial" w:eastAsia="Times New Roman" w:hAnsi="Arial" w:cs="Arial"/>
                <w:color w:val="000000"/>
                <w:kern w:val="0"/>
                <w:lang w:eastAsia="en-GB"/>
              </w:rPr>
              <w:t>-0.8%</w:t>
            </w:r>
          </w:p>
        </w:tc>
        <w:tc>
          <w:tcPr>
            <w:tcW w:w="1400" w:type="dxa"/>
            <w:tcBorders>
              <w:top w:val="nil"/>
              <w:left w:val="nil"/>
              <w:bottom w:val="single" w:sz="4" w:space="0" w:color="auto"/>
              <w:right w:val="single" w:sz="4" w:space="0" w:color="auto"/>
            </w:tcBorders>
            <w:shd w:val="clear" w:color="auto" w:fill="auto"/>
            <w:noWrap/>
            <w:vAlign w:val="bottom"/>
            <w:hideMark/>
          </w:tcPr>
          <w:p w:rsidR="003D18C8" w:rsidRPr="003D18C8" w:rsidRDefault="003D18C8" w:rsidP="003D18C8">
            <w:pPr>
              <w:tabs>
                <w:tab w:val="clear" w:pos="284"/>
              </w:tabs>
              <w:spacing w:line="240" w:lineRule="auto"/>
              <w:jc w:val="right"/>
              <w:rPr>
                <w:rFonts w:ascii="Arial" w:eastAsia="Times New Roman" w:hAnsi="Arial" w:cs="Arial"/>
                <w:color w:val="000000"/>
                <w:kern w:val="0"/>
                <w:lang w:eastAsia="en-GB"/>
              </w:rPr>
            </w:pPr>
            <w:r w:rsidRPr="003D18C8">
              <w:rPr>
                <w:rFonts w:ascii="Arial" w:eastAsia="Times New Roman" w:hAnsi="Arial" w:cs="Arial"/>
                <w:color w:val="000000"/>
                <w:kern w:val="0"/>
                <w:lang w:eastAsia="en-GB"/>
              </w:rPr>
              <w:t>8.7%</w:t>
            </w:r>
          </w:p>
        </w:tc>
        <w:tc>
          <w:tcPr>
            <w:tcW w:w="1720" w:type="dxa"/>
            <w:tcBorders>
              <w:top w:val="nil"/>
              <w:left w:val="nil"/>
              <w:bottom w:val="single" w:sz="4" w:space="0" w:color="auto"/>
              <w:right w:val="single" w:sz="8" w:space="0" w:color="auto"/>
            </w:tcBorders>
            <w:shd w:val="clear" w:color="auto" w:fill="auto"/>
            <w:noWrap/>
            <w:vAlign w:val="bottom"/>
            <w:hideMark/>
          </w:tcPr>
          <w:p w:rsidR="003D18C8" w:rsidRPr="003D18C8" w:rsidRDefault="003D18C8" w:rsidP="003D18C8">
            <w:pPr>
              <w:tabs>
                <w:tab w:val="clear" w:pos="284"/>
              </w:tabs>
              <w:spacing w:line="240" w:lineRule="auto"/>
              <w:jc w:val="right"/>
              <w:rPr>
                <w:rFonts w:ascii="Arial" w:eastAsia="Times New Roman" w:hAnsi="Arial" w:cs="Arial"/>
                <w:color w:val="000000"/>
                <w:kern w:val="0"/>
                <w:lang w:eastAsia="en-GB"/>
              </w:rPr>
            </w:pPr>
            <w:r w:rsidRPr="003D18C8">
              <w:rPr>
                <w:rFonts w:ascii="Arial" w:eastAsia="Times New Roman" w:hAnsi="Arial" w:cs="Arial"/>
                <w:color w:val="000000"/>
                <w:kern w:val="0"/>
                <w:lang w:eastAsia="en-GB"/>
              </w:rPr>
              <w:t>2.1%</w:t>
            </w:r>
          </w:p>
        </w:tc>
      </w:tr>
      <w:tr w:rsidR="003D18C8" w:rsidRPr="003D18C8" w:rsidTr="003D18C8">
        <w:trPr>
          <w:trHeight w:val="228"/>
        </w:trPr>
        <w:tc>
          <w:tcPr>
            <w:tcW w:w="2440" w:type="dxa"/>
            <w:tcBorders>
              <w:top w:val="nil"/>
              <w:left w:val="single" w:sz="8" w:space="0" w:color="auto"/>
              <w:bottom w:val="single" w:sz="4" w:space="0" w:color="auto"/>
              <w:right w:val="single" w:sz="4" w:space="0" w:color="auto"/>
            </w:tcBorders>
            <w:shd w:val="clear" w:color="auto" w:fill="auto"/>
            <w:noWrap/>
            <w:vAlign w:val="bottom"/>
            <w:hideMark/>
          </w:tcPr>
          <w:p w:rsidR="003D18C8" w:rsidRPr="003D18C8" w:rsidRDefault="003D18C8" w:rsidP="003D18C8">
            <w:pPr>
              <w:tabs>
                <w:tab w:val="clear" w:pos="284"/>
              </w:tabs>
              <w:spacing w:line="240" w:lineRule="auto"/>
              <w:rPr>
                <w:rFonts w:ascii="Arial" w:eastAsia="Times New Roman" w:hAnsi="Arial" w:cs="Arial"/>
                <w:color w:val="000000"/>
                <w:kern w:val="0"/>
                <w:lang w:eastAsia="en-GB"/>
              </w:rPr>
            </w:pPr>
            <w:r w:rsidRPr="003D18C8">
              <w:rPr>
                <w:rFonts w:ascii="Arial" w:eastAsia="Times New Roman" w:hAnsi="Arial" w:cs="Arial"/>
                <w:color w:val="000000"/>
                <w:kern w:val="0"/>
                <w:lang w:eastAsia="en-GB"/>
              </w:rPr>
              <w:t>7 Rooms</w:t>
            </w:r>
          </w:p>
        </w:tc>
        <w:tc>
          <w:tcPr>
            <w:tcW w:w="2300" w:type="dxa"/>
            <w:tcBorders>
              <w:top w:val="nil"/>
              <w:left w:val="nil"/>
              <w:bottom w:val="single" w:sz="4" w:space="0" w:color="auto"/>
              <w:right w:val="single" w:sz="4" w:space="0" w:color="auto"/>
            </w:tcBorders>
            <w:shd w:val="clear" w:color="auto" w:fill="auto"/>
            <w:noWrap/>
            <w:vAlign w:val="bottom"/>
            <w:hideMark/>
          </w:tcPr>
          <w:p w:rsidR="003D18C8" w:rsidRPr="003D18C8" w:rsidRDefault="003D18C8" w:rsidP="003D18C8">
            <w:pPr>
              <w:tabs>
                <w:tab w:val="clear" w:pos="284"/>
              </w:tabs>
              <w:spacing w:line="240" w:lineRule="auto"/>
              <w:jc w:val="right"/>
              <w:rPr>
                <w:rFonts w:ascii="Arial" w:eastAsia="Times New Roman" w:hAnsi="Arial" w:cs="Arial"/>
                <w:color w:val="000000"/>
                <w:kern w:val="0"/>
                <w:lang w:eastAsia="en-GB"/>
              </w:rPr>
            </w:pPr>
            <w:r w:rsidRPr="003D18C8">
              <w:rPr>
                <w:rFonts w:ascii="Arial" w:eastAsia="Times New Roman" w:hAnsi="Arial" w:cs="Arial"/>
                <w:color w:val="000000"/>
                <w:kern w:val="0"/>
                <w:lang w:eastAsia="en-GB"/>
              </w:rPr>
              <w:t>19.5%</w:t>
            </w:r>
          </w:p>
        </w:tc>
        <w:tc>
          <w:tcPr>
            <w:tcW w:w="1400" w:type="dxa"/>
            <w:tcBorders>
              <w:top w:val="nil"/>
              <w:left w:val="nil"/>
              <w:bottom w:val="single" w:sz="4" w:space="0" w:color="auto"/>
              <w:right w:val="single" w:sz="4" w:space="0" w:color="auto"/>
            </w:tcBorders>
            <w:shd w:val="clear" w:color="auto" w:fill="auto"/>
            <w:noWrap/>
            <w:vAlign w:val="bottom"/>
            <w:hideMark/>
          </w:tcPr>
          <w:p w:rsidR="003D18C8" w:rsidRPr="003D18C8" w:rsidRDefault="003D18C8" w:rsidP="003D18C8">
            <w:pPr>
              <w:tabs>
                <w:tab w:val="clear" w:pos="284"/>
              </w:tabs>
              <w:spacing w:line="240" w:lineRule="auto"/>
              <w:jc w:val="right"/>
              <w:rPr>
                <w:rFonts w:ascii="Arial" w:eastAsia="Times New Roman" w:hAnsi="Arial" w:cs="Arial"/>
                <w:color w:val="000000"/>
                <w:kern w:val="0"/>
                <w:lang w:eastAsia="en-GB"/>
              </w:rPr>
            </w:pPr>
            <w:r w:rsidRPr="003D18C8">
              <w:rPr>
                <w:rFonts w:ascii="Arial" w:eastAsia="Times New Roman" w:hAnsi="Arial" w:cs="Arial"/>
                <w:color w:val="000000"/>
                <w:kern w:val="0"/>
                <w:lang w:eastAsia="en-GB"/>
              </w:rPr>
              <w:t>15.0%</w:t>
            </w:r>
          </w:p>
        </w:tc>
        <w:tc>
          <w:tcPr>
            <w:tcW w:w="1720" w:type="dxa"/>
            <w:tcBorders>
              <w:top w:val="nil"/>
              <w:left w:val="nil"/>
              <w:bottom w:val="single" w:sz="4" w:space="0" w:color="auto"/>
              <w:right w:val="single" w:sz="8" w:space="0" w:color="auto"/>
            </w:tcBorders>
            <w:shd w:val="clear" w:color="auto" w:fill="auto"/>
            <w:noWrap/>
            <w:vAlign w:val="bottom"/>
            <w:hideMark/>
          </w:tcPr>
          <w:p w:rsidR="003D18C8" w:rsidRPr="003D18C8" w:rsidRDefault="003D18C8" w:rsidP="003D18C8">
            <w:pPr>
              <w:tabs>
                <w:tab w:val="clear" w:pos="284"/>
              </w:tabs>
              <w:spacing w:line="240" w:lineRule="auto"/>
              <w:jc w:val="right"/>
              <w:rPr>
                <w:rFonts w:ascii="Arial" w:eastAsia="Times New Roman" w:hAnsi="Arial" w:cs="Arial"/>
                <w:color w:val="000000"/>
                <w:kern w:val="0"/>
                <w:lang w:eastAsia="en-GB"/>
              </w:rPr>
            </w:pPr>
            <w:r w:rsidRPr="003D18C8">
              <w:rPr>
                <w:rFonts w:ascii="Arial" w:eastAsia="Times New Roman" w:hAnsi="Arial" w:cs="Arial"/>
                <w:color w:val="000000"/>
                <w:kern w:val="0"/>
                <w:lang w:eastAsia="en-GB"/>
              </w:rPr>
              <w:t>17.9%</w:t>
            </w:r>
          </w:p>
        </w:tc>
      </w:tr>
      <w:tr w:rsidR="003D18C8" w:rsidRPr="003D18C8" w:rsidTr="003D18C8">
        <w:trPr>
          <w:trHeight w:val="240"/>
        </w:trPr>
        <w:tc>
          <w:tcPr>
            <w:tcW w:w="2440" w:type="dxa"/>
            <w:tcBorders>
              <w:top w:val="nil"/>
              <w:left w:val="single" w:sz="8" w:space="0" w:color="auto"/>
              <w:bottom w:val="single" w:sz="8" w:space="0" w:color="auto"/>
              <w:right w:val="single" w:sz="4" w:space="0" w:color="auto"/>
            </w:tcBorders>
            <w:shd w:val="clear" w:color="auto" w:fill="auto"/>
            <w:noWrap/>
            <w:vAlign w:val="bottom"/>
            <w:hideMark/>
          </w:tcPr>
          <w:p w:rsidR="003D18C8" w:rsidRPr="003D18C8" w:rsidRDefault="003D18C8" w:rsidP="003D18C8">
            <w:pPr>
              <w:tabs>
                <w:tab w:val="clear" w:pos="284"/>
              </w:tabs>
              <w:spacing w:line="240" w:lineRule="auto"/>
              <w:rPr>
                <w:rFonts w:ascii="Arial" w:eastAsia="Times New Roman" w:hAnsi="Arial" w:cs="Arial"/>
                <w:color w:val="000000"/>
                <w:kern w:val="0"/>
                <w:lang w:eastAsia="en-GB"/>
              </w:rPr>
            </w:pPr>
            <w:r w:rsidRPr="003D18C8">
              <w:rPr>
                <w:rFonts w:ascii="Arial" w:eastAsia="Times New Roman" w:hAnsi="Arial" w:cs="Arial"/>
                <w:color w:val="000000"/>
                <w:kern w:val="0"/>
                <w:lang w:eastAsia="en-GB"/>
              </w:rPr>
              <w:t>8 Rooms or more</w:t>
            </w:r>
          </w:p>
        </w:tc>
        <w:tc>
          <w:tcPr>
            <w:tcW w:w="2300" w:type="dxa"/>
            <w:tcBorders>
              <w:top w:val="nil"/>
              <w:left w:val="nil"/>
              <w:bottom w:val="single" w:sz="8" w:space="0" w:color="auto"/>
              <w:right w:val="single" w:sz="4" w:space="0" w:color="auto"/>
            </w:tcBorders>
            <w:shd w:val="clear" w:color="auto" w:fill="auto"/>
            <w:noWrap/>
            <w:vAlign w:val="bottom"/>
            <w:hideMark/>
          </w:tcPr>
          <w:p w:rsidR="003D18C8" w:rsidRPr="003D18C8" w:rsidRDefault="003D18C8" w:rsidP="003D18C8">
            <w:pPr>
              <w:tabs>
                <w:tab w:val="clear" w:pos="284"/>
              </w:tabs>
              <w:spacing w:line="240" w:lineRule="auto"/>
              <w:jc w:val="right"/>
              <w:rPr>
                <w:rFonts w:ascii="Arial" w:eastAsia="Times New Roman" w:hAnsi="Arial" w:cs="Arial"/>
                <w:color w:val="000000"/>
                <w:kern w:val="0"/>
                <w:lang w:eastAsia="en-GB"/>
              </w:rPr>
            </w:pPr>
            <w:r w:rsidRPr="003D18C8">
              <w:rPr>
                <w:rFonts w:ascii="Arial" w:eastAsia="Times New Roman" w:hAnsi="Arial" w:cs="Arial"/>
                <w:color w:val="000000"/>
                <w:kern w:val="0"/>
                <w:lang w:eastAsia="en-GB"/>
              </w:rPr>
              <w:t>11.7%</w:t>
            </w:r>
          </w:p>
        </w:tc>
        <w:tc>
          <w:tcPr>
            <w:tcW w:w="1400" w:type="dxa"/>
            <w:tcBorders>
              <w:top w:val="nil"/>
              <w:left w:val="nil"/>
              <w:bottom w:val="single" w:sz="8" w:space="0" w:color="auto"/>
              <w:right w:val="single" w:sz="4" w:space="0" w:color="auto"/>
            </w:tcBorders>
            <w:shd w:val="clear" w:color="auto" w:fill="auto"/>
            <w:noWrap/>
            <w:vAlign w:val="bottom"/>
            <w:hideMark/>
          </w:tcPr>
          <w:p w:rsidR="003D18C8" w:rsidRPr="003D18C8" w:rsidRDefault="003D18C8" w:rsidP="003D18C8">
            <w:pPr>
              <w:tabs>
                <w:tab w:val="clear" w:pos="284"/>
              </w:tabs>
              <w:spacing w:line="240" w:lineRule="auto"/>
              <w:jc w:val="right"/>
              <w:rPr>
                <w:rFonts w:ascii="Arial" w:eastAsia="Times New Roman" w:hAnsi="Arial" w:cs="Arial"/>
                <w:color w:val="000000"/>
                <w:kern w:val="0"/>
                <w:lang w:eastAsia="en-GB"/>
              </w:rPr>
            </w:pPr>
            <w:r w:rsidRPr="003D18C8">
              <w:rPr>
                <w:rFonts w:ascii="Arial" w:eastAsia="Times New Roman" w:hAnsi="Arial" w:cs="Arial"/>
                <w:color w:val="000000"/>
                <w:kern w:val="0"/>
                <w:lang w:eastAsia="en-GB"/>
              </w:rPr>
              <w:t>22.2%</w:t>
            </w:r>
          </w:p>
        </w:tc>
        <w:tc>
          <w:tcPr>
            <w:tcW w:w="1720" w:type="dxa"/>
            <w:tcBorders>
              <w:top w:val="nil"/>
              <w:left w:val="nil"/>
              <w:bottom w:val="single" w:sz="8" w:space="0" w:color="auto"/>
              <w:right w:val="single" w:sz="8" w:space="0" w:color="auto"/>
            </w:tcBorders>
            <w:shd w:val="clear" w:color="auto" w:fill="auto"/>
            <w:noWrap/>
            <w:vAlign w:val="bottom"/>
            <w:hideMark/>
          </w:tcPr>
          <w:p w:rsidR="003D18C8" w:rsidRPr="003D18C8" w:rsidRDefault="003D18C8" w:rsidP="003D18C8">
            <w:pPr>
              <w:tabs>
                <w:tab w:val="clear" w:pos="284"/>
              </w:tabs>
              <w:spacing w:line="240" w:lineRule="auto"/>
              <w:jc w:val="right"/>
              <w:rPr>
                <w:rFonts w:ascii="Arial" w:eastAsia="Times New Roman" w:hAnsi="Arial" w:cs="Arial"/>
                <w:color w:val="000000"/>
                <w:kern w:val="0"/>
                <w:lang w:eastAsia="en-GB"/>
              </w:rPr>
            </w:pPr>
            <w:r w:rsidRPr="003D18C8">
              <w:rPr>
                <w:rFonts w:ascii="Arial" w:eastAsia="Times New Roman" w:hAnsi="Arial" w:cs="Arial"/>
                <w:color w:val="000000"/>
                <w:kern w:val="0"/>
                <w:lang w:eastAsia="en-GB"/>
              </w:rPr>
              <w:t>29.8%</w:t>
            </w:r>
          </w:p>
        </w:tc>
      </w:tr>
    </w:tbl>
    <w:p w:rsidR="00BF22EF" w:rsidRPr="00BF22EF" w:rsidRDefault="00BF22EF" w:rsidP="00BF22EF">
      <w:pPr>
        <w:pStyle w:val="BodyText"/>
        <w:rPr>
          <w:bCs/>
          <w:i/>
          <w:iCs/>
          <w:color w:val="000000" w:themeColor="text1"/>
          <w:lang w:val="en-US"/>
        </w:rPr>
      </w:pPr>
      <w:r w:rsidRPr="00BF22EF">
        <w:rPr>
          <w:bCs/>
          <w:i/>
          <w:iCs/>
          <w:color w:val="000000" w:themeColor="text1"/>
          <w:lang w:val="en-US"/>
        </w:rPr>
        <w:t xml:space="preserve">Source: Census 2001 and 2011, AECOM </w:t>
      </w:r>
      <w:r w:rsidR="00C22531">
        <w:rPr>
          <w:bCs/>
          <w:i/>
          <w:iCs/>
          <w:color w:val="000000" w:themeColor="text1"/>
          <w:lang w:val="en-US"/>
        </w:rPr>
        <w:t>c</w:t>
      </w:r>
      <w:r w:rsidRPr="00BF22EF">
        <w:rPr>
          <w:bCs/>
          <w:i/>
          <w:iCs/>
          <w:color w:val="000000" w:themeColor="text1"/>
          <w:lang w:val="en-US"/>
        </w:rPr>
        <w:t xml:space="preserve">alculations </w:t>
      </w:r>
    </w:p>
    <w:p w:rsidR="006C291A" w:rsidRDefault="00BF22EF" w:rsidP="00A258B5">
      <w:pPr>
        <w:pStyle w:val="ListNumber"/>
        <w:rPr>
          <w:lang w:val="en-US"/>
        </w:rPr>
      </w:pPr>
      <w:r w:rsidRPr="00BF22EF">
        <w:rPr>
          <w:lang w:val="en-US"/>
        </w:rPr>
        <w:t xml:space="preserve">The </w:t>
      </w:r>
      <w:r w:rsidR="006713D2" w:rsidRPr="006713D2">
        <w:rPr>
          <w:lang w:val="en-US"/>
        </w:rPr>
        <w:t>CWSS12</w:t>
      </w:r>
      <w:r w:rsidRPr="00BF22EF">
        <w:rPr>
          <w:lang w:val="en-US"/>
        </w:rPr>
        <w:t xml:space="preserve"> </w:t>
      </w:r>
      <w:r>
        <w:rPr>
          <w:lang w:val="en-US"/>
        </w:rPr>
        <w:t xml:space="preserve">is helpful in clarifying </w:t>
      </w:r>
      <w:r w:rsidR="00792AAF">
        <w:rPr>
          <w:lang w:val="en-US"/>
        </w:rPr>
        <w:t xml:space="preserve">the size of dwellings </w:t>
      </w:r>
      <w:r w:rsidR="006C291A">
        <w:rPr>
          <w:lang w:val="en-US"/>
        </w:rPr>
        <w:t xml:space="preserve">suited to meeting the needs of </w:t>
      </w:r>
      <w:r w:rsidR="00792AAF">
        <w:rPr>
          <w:lang w:val="en-US"/>
        </w:rPr>
        <w:t xml:space="preserve">the various sub-areas including </w:t>
      </w:r>
      <w:proofErr w:type="spellStart"/>
      <w:r w:rsidR="00792AAF">
        <w:rPr>
          <w:lang w:val="en-US"/>
        </w:rPr>
        <w:t>Chichester</w:t>
      </w:r>
      <w:proofErr w:type="spellEnd"/>
      <w:r w:rsidR="00792AAF">
        <w:rPr>
          <w:lang w:val="en-US"/>
        </w:rPr>
        <w:t xml:space="preserve"> South. </w:t>
      </w:r>
      <w:r w:rsidR="006C291A">
        <w:rPr>
          <w:lang w:val="en-US"/>
        </w:rPr>
        <w:t>In T</w:t>
      </w:r>
      <w:r w:rsidR="00A258B5">
        <w:rPr>
          <w:lang w:val="en-US"/>
        </w:rPr>
        <w:t>ables 15</w:t>
      </w:r>
      <w:r w:rsidR="006C291A">
        <w:rPr>
          <w:lang w:val="en-US"/>
        </w:rPr>
        <w:t xml:space="preserve"> and </w:t>
      </w:r>
      <w:r w:rsidR="00A258B5">
        <w:rPr>
          <w:lang w:val="en-US"/>
        </w:rPr>
        <w:t>16</w:t>
      </w:r>
      <w:r w:rsidR="006C291A">
        <w:rPr>
          <w:lang w:val="en-US"/>
        </w:rPr>
        <w:t xml:space="preserve"> below we reproduce Figures 211 and 212 from the </w:t>
      </w:r>
      <w:r w:rsidR="006713D2" w:rsidRPr="006713D2">
        <w:rPr>
          <w:lang w:val="en-US"/>
        </w:rPr>
        <w:t>CWSS12</w:t>
      </w:r>
      <w:r w:rsidR="006C291A">
        <w:rPr>
          <w:lang w:val="en-US"/>
        </w:rPr>
        <w:t xml:space="preserve"> that provides estimates of dwellings required from 2011 to 2031 for market and affordable housing respectively. Noting that a one bedroom home is likely to be dwelling of 1-2 habitable rooms, and a 2 bedroom home a dwelling of 3 habitable rooms, in </w:t>
      </w:r>
      <w:proofErr w:type="spellStart"/>
      <w:r w:rsidR="006C291A">
        <w:rPr>
          <w:lang w:val="en-US"/>
        </w:rPr>
        <w:t>Chichester</w:t>
      </w:r>
      <w:proofErr w:type="spellEnd"/>
      <w:r w:rsidR="006C291A">
        <w:rPr>
          <w:lang w:val="en-US"/>
        </w:rPr>
        <w:t xml:space="preserve"> South, the </w:t>
      </w:r>
      <w:r w:rsidR="006713D2" w:rsidRPr="006713D2">
        <w:rPr>
          <w:lang w:val="en-US"/>
        </w:rPr>
        <w:t>CWSS12</w:t>
      </w:r>
      <w:r w:rsidR="006C291A">
        <w:rPr>
          <w:lang w:val="en-US"/>
        </w:rPr>
        <w:t xml:space="preserve"> suggests roughly a third of all new </w:t>
      </w:r>
      <w:r w:rsidR="008B3000">
        <w:rPr>
          <w:lang w:val="en-US"/>
        </w:rPr>
        <w:t xml:space="preserve">residential development </w:t>
      </w:r>
      <w:r w:rsidR="00670A38">
        <w:rPr>
          <w:lang w:val="en-US"/>
        </w:rPr>
        <w:t xml:space="preserve">for the open market </w:t>
      </w:r>
      <w:r w:rsidR="008B3000">
        <w:rPr>
          <w:lang w:val="en-US"/>
        </w:rPr>
        <w:t xml:space="preserve">should fall into these categories. Medium sized homes of three bedrooms (4-5 habitable rooms) should constitute 48.5% of all dwellings, and the balance of 18.2% should be apportioned to larger dwellings. </w:t>
      </w:r>
    </w:p>
    <w:p w:rsidR="00A258B5" w:rsidRDefault="00A258B5" w:rsidP="00A258B5">
      <w:pPr>
        <w:pStyle w:val="Caption"/>
      </w:pPr>
      <w:r>
        <w:lastRenderedPageBreak/>
        <w:t xml:space="preserve">Table </w:t>
      </w:r>
      <w:fldSimple w:instr=" SEQ Table \* ARABIC ">
        <w:r w:rsidR="00B25544">
          <w:rPr>
            <w:noProof/>
          </w:rPr>
          <w:t>17</w:t>
        </w:r>
      </w:fldSimple>
      <w:r>
        <w:t xml:space="preserve">: % </w:t>
      </w:r>
      <w:r w:rsidRPr="00BE11CF">
        <w:t xml:space="preserve">Estimated </w:t>
      </w:r>
      <w:r w:rsidR="00C22531">
        <w:t>s</w:t>
      </w:r>
      <w:r w:rsidRPr="00BE11CF">
        <w:t xml:space="preserve">ize of </w:t>
      </w:r>
      <w:r w:rsidR="00C22531">
        <w:t>d</w:t>
      </w:r>
      <w:r w:rsidRPr="00BE11CF">
        <w:t xml:space="preserve">wellings </w:t>
      </w:r>
      <w:r w:rsidR="00C22531">
        <w:t>r</w:t>
      </w:r>
      <w:r w:rsidRPr="00BE11CF">
        <w:t xml:space="preserve">equired 2011 to 2031 by </w:t>
      </w:r>
      <w:r w:rsidR="00C22531">
        <w:t>s</w:t>
      </w:r>
      <w:r w:rsidRPr="00BE11CF">
        <w:t>ub-</w:t>
      </w:r>
      <w:r w:rsidR="00C22531">
        <w:t>a</w:t>
      </w:r>
      <w:r w:rsidRPr="00BE11CF">
        <w:t>rea – Market Housing</w:t>
      </w:r>
    </w:p>
    <w:p w:rsidR="006C291A" w:rsidRDefault="006C291A" w:rsidP="006C291A">
      <w:pPr>
        <w:pStyle w:val="BodyText"/>
        <w:spacing w:after="0"/>
        <w:rPr>
          <w:bCs/>
          <w:iCs/>
          <w:color w:val="000000" w:themeColor="text1"/>
          <w:lang w:val="en-US"/>
        </w:rPr>
      </w:pPr>
      <w:r>
        <w:rPr>
          <w:bCs/>
          <w:iCs/>
          <w:noProof/>
          <w:color w:val="000000" w:themeColor="text1"/>
          <w:lang w:eastAsia="en-GB"/>
        </w:rPr>
        <w:drawing>
          <wp:inline distT="0" distB="0" distL="0" distR="0" wp14:anchorId="6E4D9C40" wp14:editId="32702CC0">
            <wp:extent cx="4976292" cy="4991533"/>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MA fig212.PNG"/>
                    <pic:cNvPicPr/>
                  </pic:nvPicPr>
                  <pic:blipFill>
                    <a:blip r:embed="rId24">
                      <a:extLst>
                        <a:ext uri="{28A0092B-C50C-407E-A947-70E740481C1C}">
                          <a14:useLocalDpi xmlns:a14="http://schemas.microsoft.com/office/drawing/2010/main" val="0"/>
                        </a:ext>
                      </a:extLst>
                    </a:blip>
                    <a:stretch>
                      <a:fillRect/>
                    </a:stretch>
                  </pic:blipFill>
                  <pic:spPr>
                    <a:xfrm>
                      <a:off x="0" y="0"/>
                      <a:ext cx="4976292" cy="4991533"/>
                    </a:xfrm>
                    <a:prstGeom prst="rect">
                      <a:avLst/>
                    </a:prstGeom>
                  </pic:spPr>
                </pic:pic>
              </a:graphicData>
            </a:graphic>
          </wp:inline>
        </w:drawing>
      </w:r>
      <w:r>
        <w:rPr>
          <w:bCs/>
          <w:iCs/>
          <w:color w:val="000000" w:themeColor="text1"/>
          <w:lang w:val="en-US"/>
        </w:rPr>
        <w:t xml:space="preserve"> </w:t>
      </w:r>
    </w:p>
    <w:p w:rsidR="006C291A" w:rsidRPr="006C291A" w:rsidRDefault="006C291A" w:rsidP="006C291A">
      <w:pPr>
        <w:pStyle w:val="BodyText"/>
        <w:spacing w:after="0"/>
        <w:rPr>
          <w:bCs/>
          <w:i/>
          <w:iCs/>
          <w:color w:val="000000" w:themeColor="text1"/>
          <w:lang w:val="en-US"/>
        </w:rPr>
      </w:pPr>
      <w:r w:rsidRPr="006C291A">
        <w:rPr>
          <w:bCs/>
          <w:i/>
          <w:iCs/>
          <w:color w:val="000000" w:themeColor="text1"/>
          <w:lang w:val="en-US"/>
        </w:rPr>
        <w:t>Source: SHMA Housing Market Model</w:t>
      </w:r>
    </w:p>
    <w:p w:rsidR="006C291A" w:rsidRDefault="006C291A" w:rsidP="006C291A">
      <w:pPr>
        <w:pStyle w:val="BodyText"/>
        <w:spacing w:after="0"/>
        <w:rPr>
          <w:bCs/>
          <w:iCs/>
          <w:color w:val="000000" w:themeColor="text1"/>
          <w:lang w:val="en-US"/>
        </w:rPr>
      </w:pPr>
    </w:p>
    <w:p w:rsidR="00440F0C" w:rsidRDefault="00440F0C" w:rsidP="00A258B5">
      <w:pPr>
        <w:pStyle w:val="ListNumber"/>
        <w:rPr>
          <w:lang w:val="en-US"/>
        </w:rPr>
      </w:pPr>
      <w:r>
        <w:rPr>
          <w:lang w:val="en-US"/>
        </w:rPr>
        <w:t xml:space="preserve">For affordable homes, the </w:t>
      </w:r>
      <w:r w:rsidR="006713D2" w:rsidRPr="006713D2">
        <w:rPr>
          <w:lang w:val="en-US"/>
        </w:rPr>
        <w:t>CWSS12</w:t>
      </w:r>
      <w:r w:rsidR="006713D2">
        <w:rPr>
          <w:lang w:val="en-US"/>
        </w:rPr>
        <w:t xml:space="preserve"> </w:t>
      </w:r>
      <w:r>
        <w:rPr>
          <w:lang w:val="en-US"/>
        </w:rPr>
        <w:t xml:space="preserve">suggests a larger proportion should be concentrated at the smaller end of the scale, </w:t>
      </w:r>
      <w:r w:rsidR="00D03D54">
        <w:rPr>
          <w:lang w:val="en-US"/>
        </w:rPr>
        <w:t xml:space="preserve">with 66.8% of all new AH dwellings being 1-3 habitable rooms in size. 30.1% of medium </w:t>
      </w:r>
      <w:proofErr w:type="gramStart"/>
      <w:r w:rsidR="00D03D54">
        <w:rPr>
          <w:lang w:val="en-US"/>
        </w:rPr>
        <w:t>size,</w:t>
      </w:r>
      <w:proofErr w:type="gramEnd"/>
      <w:r w:rsidR="00D03D54">
        <w:rPr>
          <w:lang w:val="en-US"/>
        </w:rPr>
        <w:t xml:space="preserve"> and only 3% of larger size. </w:t>
      </w:r>
    </w:p>
    <w:p w:rsidR="00D03D54" w:rsidRDefault="00D03D54" w:rsidP="006C291A">
      <w:pPr>
        <w:pStyle w:val="BodyText"/>
        <w:spacing w:after="0"/>
        <w:rPr>
          <w:bCs/>
          <w:iCs/>
          <w:color w:val="000000" w:themeColor="text1"/>
          <w:lang w:val="en-US"/>
        </w:rPr>
      </w:pPr>
    </w:p>
    <w:p w:rsidR="00A258B5" w:rsidRDefault="00A258B5" w:rsidP="00A258B5">
      <w:pPr>
        <w:pStyle w:val="Caption"/>
      </w:pPr>
      <w:r>
        <w:lastRenderedPageBreak/>
        <w:t xml:space="preserve">Table </w:t>
      </w:r>
      <w:fldSimple w:instr=" SEQ Table \* ARABIC ">
        <w:r w:rsidR="00B25544">
          <w:rPr>
            <w:noProof/>
          </w:rPr>
          <w:t>18</w:t>
        </w:r>
      </w:fldSimple>
      <w:r>
        <w:t xml:space="preserve">: </w:t>
      </w:r>
      <w:r w:rsidRPr="003C45C6">
        <w:t xml:space="preserve">Estimated </w:t>
      </w:r>
      <w:r w:rsidR="00C22531">
        <w:t>s</w:t>
      </w:r>
      <w:r w:rsidRPr="003C45C6">
        <w:t xml:space="preserve">ize of </w:t>
      </w:r>
      <w:r w:rsidR="00C22531">
        <w:t>d</w:t>
      </w:r>
      <w:r w:rsidRPr="003C45C6">
        <w:t xml:space="preserve">wellings </w:t>
      </w:r>
      <w:r w:rsidR="00C22531">
        <w:t>r</w:t>
      </w:r>
      <w:r w:rsidRPr="003C45C6">
        <w:t xml:space="preserve">equired 2011 to 2031 by </w:t>
      </w:r>
      <w:r w:rsidR="00C22531">
        <w:t>s</w:t>
      </w:r>
      <w:r w:rsidRPr="003C45C6">
        <w:t>ub-</w:t>
      </w:r>
      <w:r w:rsidR="00C22531">
        <w:t>a</w:t>
      </w:r>
      <w:r w:rsidRPr="003C45C6">
        <w:t xml:space="preserve">rea – </w:t>
      </w:r>
      <w:r w:rsidR="00C22531">
        <w:t>a</w:t>
      </w:r>
      <w:r w:rsidRPr="003C45C6">
        <w:t xml:space="preserve">ffordable </w:t>
      </w:r>
      <w:r w:rsidR="00C22531">
        <w:t>h</w:t>
      </w:r>
      <w:r w:rsidRPr="003C45C6">
        <w:t>ousing</w:t>
      </w:r>
    </w:p>
    <w:p w:rsidR="00792AAF" w:rsidRPr="00BF22EF" w:rsidRDefault="00A556A4" w:rsidP="006C291A">
      <w:pPr>
        <w:pStyle w:val="BodyText"/>
        <w:spacing w:after="0"/>
        <w:rPr>
          <w:bCs/>
          <w:iCs/>
          <w:color w:val="000000" w:themeColor="text1"/>
          <w:lang w:val="en-US"/>
        </w:rPr>
      </w:pPr>
      <w:r>
        <w:rPr>
          <w:bCs/>
          <w:iCs/>
          <w:noProof/>
          <w:color w:val="000000" w:themeColor="text1"/>
          <w:lang w:eastAsia="en-GB"/>
        </w:rPr>
        <w:drawing>
          <wp:inline distT="0" distB="0" distL="0" distR="0" wp14:anchorId="14719200" wp14:editId="63FAD214">
            <wp:extent cx="4945809" cy="5060119"/>
            <wp:effectExtent l="0" t="0" r="7620" b="762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MA fig 211.PNG"/>
                    <pic:cNvPicPr/>
                  </pic:nvPicPr>
                  <pic:blipFill>
                    <a:blip r:embed="rId25">
                      <a:extLst>
                        <a:ext uri="{28A0092B-C50C-407E-A947-70E740481C1C}">
                          <a14:useLocalDpi xmlns:a14="http://schemas.microsoft.com/office/drawing/2010/main" val="0"/>
                        </a:ext>
                      </a:extLst>
                    </a:blip>
                    <a:stretch>
                      <a:fillRect/>
                    </a:stretch>
                  </pic:blipFill>
                  <pic:spPr>
                    <a:xfrm>
                      <a:off x="0" y="0"/>
                      <a:ext cx="4945809" cy="5060119"/>
                    </a:xfrm>
                    <a:prstGeom prst="rect">
                      <a:avLst/>
                    </a:prstGeom>
                  </pic:spPr>
                </pic:pic>
              </a:graphicData>
            </a:graphic>
          </wp:inline>
        </w:drawing>
      </w:r>
    </w:p>
    <w:p w:rsidR="006C291A" w:rsidRPr="006C291A" w:rsidRDefault="006C291A" w:rsidP="006C291A">
      <w:pPr>
        <w:pStyle w:val="BodyText"/>
        <w:spacing w:after="0"/>
        <w:rPr>
          <w:bCs/>
          <w:i/>
          <w:iCs/>
          <w:color w:val="000000" w:themeColor="text1"/>
          <w:lang w:val="en-US"/>
        </w:rPr>
      </w:pPr>
      <w:r w:rsidRPr="006C291A">
        <w:rPr>
          <w:bCs/>
          <w:i/>
          <w:iCs/>
          <w:color w:val="000000" w:themeColor="text1"/>
          <w:lang w:val="en-US"/>
        </w:rPr>
        <w:t>Source: SHMA Housing Market Model</w:t>
      </w:r>
    </w:p>
    <w:p w:rsidR="00BF22EF" w:rsidRDefault="00BF22EF" w:rsidP="00B90B1C">
      <w:pPr>
        <w:pStyle w:val="BodyText"/>
        <w:rPr>
          <w:bCs/>
          <w:iCs/>
          <w:color w:val="000000" w:themeColor="text1"/>
          <w:lang w:val="en-US"/>
        </w:rPr>
      </w:pPr>
    </w:p>
    <w:p w:rsidR="00A258B5" w:rsidRDefault="00A258B5">
      <w:pPr>
        <w:tabs>
          <w:tab w:val="clear" w:pos="284"/>
        </w:tabs>
        <w:spacing w:line="240" w:lineRule="auto"/>
        <w:rPr>
          <w:bCs/>
          <w:iCs/>
          <w:color w:val="FF0000"/>
          <w:lang w:val="en-US"/>
        </w:rPr>
      </w:pPr>
      <w:r>
        <w:rPr>
          <w:bCs/>
          <w:iCs/>
          <w:color w:val="FF0000"/>
          <w:lang w:val="en-US"/>
        </w:rPr>
        <w:br w:type="page"/>
      </w:r>
    </w:p>
    <w:p w:rsidR="006D0802" w:rsidRPr="006D0802" w:rsidRDefault="006D0802" w:rsidP="00B90B1C">
      <w:pPr>
        <w:pStyle w:val="BodyText"/>
        <w:rPr>
          <w:bCs/>
          <w:iCs/>
          <w:color w:val="FF0000"/>
          <w:lang w:val="en-US"/>
        </w:rPr>
      </w:pPr>
    </w:p>
    <w:p w:rsidR="0038796B" w:rsidRDefault="0021554C" w:rsidP="00A258B5">
      <w:pPr>
        <w:pStyle w:val="Heading1"/>
        <w:rPr>
          <w:lang w:val="en-US"/>
        </w:rPr>
      </w:pPr>
      <w:bookmarkStart w:id="114" w:name="_Toc504464745"/>
      <w:r w:rsidRPr="0021554C">
        <w:rPr>
          <w:lang w:val="en-US"/>
        </w:rPr>
        <w:t xml:space="preserve">RQ4: </w:t>
      </w:r>
      <w:bookmarkStart w:id="115" w:name="_Toc488669510"/>
      <w:r w:rsidR="0038796B" w:rsidRPr="0038796B">
        <w:rPr>
          <w:lang w:val="en-US"/>
        </w:rPr>
        <w:t>What provision should be made for specialist housing within the NPA?</w:t>
      </w:r>
      <w:bookmarkEnd w:id="114"/>
    </w:p>
    <w:p w:rsidR="0021554C" w:rsidRPr="00A258B5" w:rsidRDefault="0021554C" w:rsidP="00A258B5">
      <w:pPr>
        <w:pStyle w:val="Heading2"/>
        <w:rPr>
          <w:rFonts w:eastAsia="Calibri"/>
        </w:rPr>
      </w:pPr>
      <w:bookmarkStart w:id="116" w:name="_Toc504464746"/>
      <w:r w:rsidRPr="000C35A2">
        <w:rPr>
          <w:rFonts w:eastAsia="Calibri"/>
        </w:rPr>
        <w:t>Sheltered and extra-care housing</w:t>
      </w:r>
      <w:bookmarkEnd w:id="115"/>
      <w:bookmarkEnd w:id="116"/>
    </w:p>
    <w:p w:rsidR="0021554C" w:rsidRDefault="0021554C" w:rsidP="00A258B5">
      <w:pPr>
        <w:pStyle w:val="ListNumber"/>
      </w:pPr>
      <w:r w:rsidRPr="002B4E1A">
        <w:rPr>
          <w:rFonts w:eastAsia="Calibri"/>
        </w:rPr>
        <w:t xml:space="preserve">As we have seen, given the significant forecast increases in people aged 75+, it is </w:t>
      </w:r>
      <w:r w:rsidRPr="002B4E1A">
        <w:t>appropriate for policy to provide support for a significant quantum of sheltered</w:t>
      </w:r>
      <w:r w:rsidRPr="002B4E1A">
        <w:rPr>
          <w:rFonts w:eastAsia="Calibri"/>
          <w:vertAlign w:val="superscript"/>
        </w:rPr>
        <w:footnoteReference w:id="26"/>
      </w:r>
      <w:r w:rsidRPr="002B4E1A">
        <w:t xml:space="preserve"> and extra care</w:t>
      </w:r>
      <w:r w:rsidRPr="002B4E1A">
        <w:rPr>
          <w:rFonts w:eastAsia="Calibri"/>
          <w:vertAlign w:val="superscript"/>
        </w:rPr>
        <w:footnoteReference w:id="27"/>
      </w:r>
      <w:r w:rsidRPr="002B4E1A">
        <w:t xml:space="preserve"> housing as part of the delivery of new ho</w:t>
      </w:r>
      <w:r>
        <w:t xml:space="preserve">using. Table </w:t>
      </w:r>
      <w:r w:rsidR="00A258B5">
        <w:t>19</w:t>
      </w:r>
      <w:r w:rsidRPr="002B4E1A">
        <w:t xml:space="preserve"> below identifies the growth in the population of o</w:t>
      </w:r>
      <w:r>
        <w:t xml:space="preserve">ver 75s between 2011 and 2031. </w:t>
      </w:r>
    </w:p>
    <w:p w:rsidR="0021554C" w:rsidRDefault="0021554C" w:rsidP="0021554C">
      <w:pPr>
        <w:pStyle w:val="Caption"/>
      </w:pPr>
      <w:bookmarkStart w:id="117" w:name="_Toc487535550"/>
      <w:bookmarkStart w:id="118" w:name="_Toc488669615"/>
      <w:r>
        <w:t xml:space="preserve">Table </w:t>
      </w:r>
      <w:fldSimple w:instr=" SEQ Table \* ARABIC ">
        <w:r w:rsidR="00B25544">
          <w:rPr>
            <w:noProof/>
          </w:rPr>
          <w:t>19</w:t>
        </w:r>
      </w:fldSimple>
      <w:r>
        <w:t xml:space="preserve">: </w:t>
      </w:r>
      <w:r w:rsidRPr="00AA7EA8">
        <w:t xml:space="preserve"> Change in the population of over 75s between 2011 and 2031</w:t>
      </w:r>
      <w:bookmarkEnd w:id="117"/>
      <w:bookmarkEnd w:id="118"/>
    </w:p>
    <w:tbl>
      <w:tblPr>
        <w:tblStyle w:val="TableGrid"/>
        <w:tblW w:w="9800" w:type="dxa"/>
        <w:tblLook w:val="04A0" w:firstRow="1" w:lastRow="0" w:firstColumn="1" w:lastColumn="0" w:noHBand="0" w:noVBand="1"/>
      </w:tblPr>
      <w:tblGrid>
        <w:gridCol w:w="1050"/>
        <w:gridCol w:w="1490"/>
        <w:gridCol w:w="1580"/>
        <w:gridCol w:w="1380"/>
        <w:gridCol w:w="1540"/>
        <w:gridCol w:w="1380"/>
        <w:gridCol w:w="1380"/>
      </w:tblGrid>
      <w:tr w:rsidR="0021554C" w:rsidRPr="006574F8" w:rsidTr="009A6EC1">
        <w:trPr>
          <w:cnfStyle w:val="100000000000" w:firstRow="1" w:lastRow="0" w:firstColumn="0" w:lastColumn="0" w:oddVBand="0" w:evenVBand="0" w:oddHBand="0" w:evenHBand="0" w:firstRowFirstColumn="0" w:firstRowLastColumn="0" w:lastRowFirstColumn="0" w:lastRowLastColumn="0"/>
          <w:trHeight w:val="315"/>
        </w:trPr>
        <w:tc>
          <w:tcPr>
            <w:tcW w:w="1050" w:type="dxa"/>
            <w:shd w:val="clear" w:color="auto" w:fill="000000" w:themeFill="text1"/>
            <w:noWrap/>
            <w:hideMark/>
          </w:tcPr>
          <w:p w:rsidR="0021554C" w:rsidRPr="00B15618" w:rsidRDefault="0021554C" w:rsidP="009A6EC1">
            <w:pPr>
              <w:rPr>
                <w:rFonts w:eastAsia="Times New Roman" w:cstheme="majorHAnsi"/>
                <w:color w:val="FFFFFF" w:themeColor="background1"/>
                <w:sz w:val="18"/>
                <w:lang w:eastAsia="en-GB"/>
              </w:rPr>
            </w:pPr>
            <w:r w:rsidRPr="00B15618">
              <w:rPr>
                <w:rFonts w:eastAsia="Times New Roman" w:cstheme="majorHAnsi"/>
                <w:color w:val="FFFFFF" w:themeColor="background1"/>
                <w:sz w:val="18"/>
                <w:lang w:eastAsia="en-GB"/>
              </w:rPr>
              <w:t>Age band</w:t>
            </w:r>
          </w:p>
        </w:tc>
        <w:tc>
          <w:tcPr>
            <w:tcW w:w="4450" w:type="dxa"/>
            <w:gridSpan w:val="3"/>
            <w:shd w:val="clear" w:color="auto" w:fill="000000" w:themeFill="text1"/>
            <w:noWrap/>
            <w:hideMark/>
          </w:tcPr>
          <w:p w:rsidR="0021554C" w:rsidRPr="00B15618" w:rsidRDefault="0021554C" w:rsidP="00382CB9">
            <w:pPr>
              <w:jc w:val="center"/>
              <w:rPr>
                <w:rFonts w:eastAsia="Times New Roman" w:cstheme="majorHAnsi"/>
                <w:color w:val="FFFFFF" w:themeColor="background1"/>
                <w:sz w:val="18"/>
                <w:lang w:eastAsia="en-GB"/>
              </w:rPr>
            </w:pPr>
            <w:r w:rsidRPr="00B15618">
              <w:rPr>
                <w:rFonts w:eastAsia="Times New Roman" w:cstheme="majorHAnsi"/>
                <w:color w:val="FFFFFF" w:themeColor="background1"/>
                <w:sz w:val="18"/>
                <w:lang w:eastAsia="en-GB"/>
              </w:rPr>
              <w:t>201</w:t>
            </w:r>
            <w:r w:rsidR="00382CB9">
              <w:rPr>
                <w:rFonts w:eastAsia="Times New Roman" w:cstheme="majorHAnsi"/>
                <w:color w:val="FFFFFF" w:themeColor="background1"/>
                <w:sz w:val="18"/>
                <w:lang w:eastAsia="en-GB"/>
              </w:rPr>
              <w:t>1</w:t>
            </w:r>
          </w:p>
        </w:tc>
        <w:tc>
          <w:tcPr>
            <w:tcW w:w="4300" w:type="dxa"/>
            <w:gridSpan w:val="3"/>
            <w:shd w:val="clear" w:color="auto" w:fill="000000" w:themeFill="text1"/>
            <w:noWrap/>
            <w:hideMark/>
          </w:tcPr>
          <w:p w:rsidR="0021554C" w:rsidRPr="00B15618" w:rsidRDefault="0021554C" w:rsidP="0021554C">
            <w:pPr>
              <w:jc w:val="center"/>
              <w:rPr>
                <w:rFonts w:eastAsia="Times New Roman" w:cstheme="majorHAnsi"/>
                <w:color w:val="FFFFFF" w:themeColor="background1"/>
                <w:sz w:val="18"/>
                <w:lang w:eastAsia="en-GB"/>
              </w:rPr>
            </w:pPr>
            <w:r w:rsidRPr="00B15618">
              <w:rPr>
                <w:rFonts w:eastAsia="Times New Roman" w:cstheme="majorHAnsi"/>
                <w:color w:val="FFFFFF" w:themeColor="background1"/>
                <w:sz w:val="18"/>
                <w:lang w:eastAsia="en-GB"/>
              </w:rPr>
              <w:t>20</w:t>
            </w:r>
            <w:r w:rsidR="00382CB9">
              <w:rPr>
                <w:rFonts w:eastAsia="Times New Roman" w:cstheme="majorHAnsi"/>
                <w:color w:val="FFFFFF" w:themeColor="background1"/>
                <w:sz w:val="18"/>
                <w:lang w:eastAsia="en-GB"/>
              </w:rPr>
              <w:t>33</w:t>
            </w:r>
          </w:p>
        </w:tc>
      </w:tr>
      <w:tr w:rsidR="0021554C" w:rsidRPr="006574F8" w:rsidTr="009A6EC1">
        <w:trPr>
          <w:trHeight w:val="915"/>
        </w:trPr>
        <w:tc>
          <w:tcPr>
            <w:tcW w:w="1050" w:type="dxa"/>
            <w:shd w:val="clear" w:color="auto" w:fill="BFBFBF" w:themeFill="background1" w:themeFillShade="BF"/>
            <w:noWrap/>
            <w:vAlign w:val="bottom"/>
            <w:hideMark/>
          </w:tcPr>
          <w:p w:rsidR="0021554C" w:rsidRPr="00091930" w:rsidRDefault="0021554C" w:rsidP="009A6EC1">
            <w:pPr>
              <w:tabs>
                <w:tab w:val="clear" w:pos="284"/>
              </w:tabs>
              <w:spacing w:line="240" w:lineRule="auto"/>
              <w:rPr>
                <w:rFonts w:ascii="Arial" w:eastAsia="Times New Roman" w:hAnsi="Arial" w:cs="Arial"/>
                <w:color w:val="000000"/>
                <w:kern w:val="0"/>
                <w:sz w:val="18"/>
                <w:lang w:eastAsia="en-GB"/>
              </w:rPr>
            </w:pPr>
            <w:r w:rsidRPr="00091930">
              <w:rPr>
                <w:rFonts w:ascii="Arial" w:eastAsia="Times New Roman" w:hAnsi="Arial" w:cs="Arial"/>
                <w:color w:val="000000"/>
                <w:kern w:val="0"/>
                <w:sz w:val="18"/>
                <w:lang w:eastAsia="en-GB"/>
              </w:rPr>
              <w:t> </w:t>
            </w:r>
          </w:p>
        </w:tc>
        <w:tc>
          <w:tcPr>
            <w:tcW w:w="1490" w:type="dxa"/>
            <w:shd w:val="clear" w:color="auto" w:fill="BFBFBF" w:themeFill="background1" w:themeFillShade="BF"/>
            <w:vAlign w:val="bottom"/>
            <w:hideMark/>
          </w:tcPr>
          <w:p w:rsidR="0021554C" w:rsidRPr="00091930" w:rsidRDefault="0021554C" w:rsidP="00DC7A83">
            <w:pPr>
              <w:tabs>
                <w:tab w:val="clear" w:pos="284"/>
              </w:tabs>
              <w:spacing w:line="240" w:lineRule="auto"/>
              <w:jc w:val="right"/>
              <w:rPr>
                <w:rFonts w:ascii="Arial" w:eastAsia="Times New Roman" w:hAnsi="Arial" w:cs="Arial"/>
                <w:color w:val="000000"/>
                <w:kern w:val="0"/>
                <w:sz w:val="18"/>
                <w:lang w:eastAsia="en-GB"/>
              </w:rPr>
            </w:pPr>
            <w:r w:rsidRPr="00091930">
              <w:rPr>
                <w:rFonts w:ascii="Arial" w:eastAsia="Times New Roman" w:hAnsi="Arial" w:cs="Arial"/>
                <w:color w:val="000000"/>
                <w:kern w:val="0"/>
                <w:sz w:val="18"/>
                <w:lang w:eastAsia="en-GB"/>
              </w:rPr>
              <w:t xml:space="preserve">Population </w:t>
            </w:r>
            <w:r w:rsidR="00DC7A83">
              <w:rPr>
                <w:rFonts w:ascii="Arial" w:eastAsia="Times New Roman" w:hAnsi="Arial" w:cs="Arial"/>
                <w:color w:val="000000"/>
                <w:kern w:val="0"/>
                <w:sz w:val="18"/>
                <w:lang w:eastAsia="en-GB"/>
              </w:rPr>
              <w:t xml:space="preserve">West </w:t>
            </w:r>
            <w:proofErr w:type="spellStart"/>
            <w:r w:rsidR="00DC7A83">
              <w:rPr>
                <w:rFonts w:ascii="Arial" w:eastAsia="Times New Roman" w:hAnsi="Arial" w:cs="Arial"/>
                <w:color w:val="000000"/>
                <w:kern w:val="0"/>
                <w:sz w:val="18"/>
                <w:lang w:eastAsia="en-GB"/>
              </w:rPr>
              <w:t>Whittering</w:t>
            </w:r>
            <w:proofErr w:type="spellEnd"/>
          </w:p>
        </w:tc>
        <w:tc>
          <w:tcPr>
            <w:tcW w:w="1580" w:type="dxa"/>
            <w:shd w:val="clear" w:color="auto" w:fill="BFBFBF" w:themeFill="background1" w:themeFillShade="BF"/>
            <w:vAlign w:val="bottom"/>
            <w:hideMark/>
          </w:tcPr>
          <w:p w:rsidR="0021554C" w:rsidRPr="00091930" w:rsidRDefault="0021554C" w:rsidP="00DC7A83">
            <w:pPr>
              <w:tabs>
                <w:tab w:val="clear" w:pos="284"/>
              </w:tabs>
              <w:spacing w:line="240" w:lineRule="auto"/>
              <w:jc w:val="right"/>
              <w:rPr>
                <w:rFonts w:ascii="Arial" w:eastAsia="Times New Roman" w:hAnsi="Arial" w:cs="Arial"/>
                <w:color w:val="000000"/>
                <w:kern w:val="0"/>
                <w:sz w:val="18"/>
                <w:lang w:eastAsia="en-GB"/>
              </w:rPr>
            </w:pPr>
            <w:r w:rsidRPr="00091930">
              <w:rPr>
                <w:rFonts w:ascii="Arial" w:eastAsia="Times New Roman" w:hAnsi="Arial" w:cs="Arial"/>
                <w:color w:val="000000"/>
                <w:kern w:val="0"/>
                <w:sz w:val="18"/>
                <w:lang w:eastAsia="en-GB"/>
              </w:rPr>
              <w:t xml:space="preserve">Population </w:t>
            </w:r>
            <w:r w:rsidR="00DC7A83">
              <w:rPr>
                <w:rFonts w:ascii="Arial" w:eastAsia="Times New Roman" w:hAnsi="Arial" w:cs="Arial"/>
                <w:color w:val="000000"/>
                <w:kern w:val="0"/>
                <w:sz w:val="18"/>
                <w:lang w:eastAsia="en-GB"/>
              </w:rPr>
              <w:t>Chichester</w:t>
            </w:r>
          </w:p>
        </w:tc>
        <w:tc>
          <w:tcPr>
            <w:tcW w:w="1380" w:type="dxa"/>
            <w:shd w:val="clear" w:color="auto" w:fill="BFBFBF" w:themeFill="background1" w:themeFillShade="BF"/>
            <w:vAlign w:val="bottom"/>
            <w:hideMark/>
          </w:tcPr>
          <w:p w:rsidR="0021554C" w:rsidRPr="00091930" w:rsidRDefault="0021554C" w:rsidP="009A6EC1">
            <w:pPr>
              <w:tabs>
                <w:tab w:val="clear" w:pos="284"/>
              </w:tabs>
              <w:spacing w:line="240" w:lineRule="auto"/>
              <w:jc w:val="right"/>
              <w:rPr>
                <w:rFonts w:ascii="Arial" w:eastAsia="Times New Roman" w:hAnsi="Arial" w:cs="Arial"/>
                <w:color w:val="000000"/>
                <w:kern w:val="0"/>
                <w:sz w:val="18"/>
                <w:lang w:eastAsia="en-GB"/>
              </w:rPr>
            </w:pPr>
            <w:r w:rsidRPr="00091930">
              <w:rPr>
                <w:rFonts w:ascii="Arial" w:eastAsia="Times New Roman" w:hAnsi="Arial" w:cs="Arial"/>
                <w:color w:val="000000"/>
                <w:kern w:val="0"/>
                <w:sz w:val="18"/>
                <w:lang w:eastAsia="en-GB"/>
              </w:rPr>
              <w:t>Percentage of population</w:t>
            </w:r>
          </w:p>
        </w:tc>
        <w:tc>
          <w:tcPr>
            <w:tcW w:w="1540" w:type="dxa"/>
            <w:shd w:val="clear" w:color="auto" w:fill="BFBFBF" w:themeFill="background1" w:themeFillShade="BF"/>
            <w:vAlign w:val="bottom"/>
            <w:hideMark/>
          </w:tcPr>
          <w:p w:rsidR="0021554C" w:rsidRPr="00091930" w:rsidRDefault="0021554C" w:rsidP="0021554C">
            <w:pPr>
              <w:tabs>
                <w:tab w:val="clear" w:pos="284"/>
              </w:tabs>
              <w:spacing w:line="240" w:lineRule="auto"/>
              <w:jc w:val="right"/>
              <w:rPr>
                <w:rFonts w:ascii="Arial" w:eastAsia="Times New Roman" w:hAnsi="Arial" w:cs="Arial"/>
                <w:color w:val="000000"/>
                <w:kern w:val="0"/>
                <w:sz w:val="18"/>
                <w:lang w:eastAsia="en-GB"/>
              </w:rPr>
            </w:pPr>
            <w:r w:rsidRPr="00091930">
              <w:rPr>
                <w:rFonts w:ascii="Arial" w:eastAsia="Times New Roman" w:hAnsi="Arial" w:cs="Arial"/>
                <w:color w:val="000000"/>
                <w:kern w:val="0"/>
                <w:sz w:val="18"/>
                <w:lang w:eastAsia="en-GB"/>
              </w:rPr>
              <w:t xml:space="preserve">Population </w:t>
            </w:r>
            <w:r w:rsidR="00DC7A83">
              <w:rPr>
                <w:rFonts w:ascii="Arial" w:eastAsia="Times New Roman" w:hAnsi="Arial" w:cs="Arial"/>
                <w:color w:val="000000"/>
                <w:kern w:val="0"/>
                <w:sz w:val="18"/>
                <w:lang w:eastAsia="en-GB"/>
              </w:rPr>
              <w:t>Chichester</w:t>
            </w:r>
          </w:p>
        </w:tc>
        <w:tc>
          <w:tcPr>
            <w:tcW w:w="1380" w:type="dxa"/>
            <w:shd w:val="clear" w:color="auto" w:fill="BFBFBF" w:themeFill="background1" w:themeFillShade="BF"/>
            <w:vAlign w:val="bottom"/>
            <w:hideMark/>
          </w:tcPr>
          <w:p w:rsidR="0021554C" w:rsidRPr="00091930" w:rsidRDefault="0021554C" w:rsidP="0021554C">
            <w:pPr>
              <w:tabs>
                <w:tab w:val="clear" w:pos="284"/>
              </w:tabs>
              <w:spacing w:line="240" w:lineRule="auto"/>
              <w:jc w:val="right"/>
              <w:rPr>
                <w:rFonts w:ascii="Arial" w:eastAsia="Times New Roman" w:hAnsi="Arial" w:cs="Arial"/>
                <w:color w:val="000000"/>
                <w:kern w:val="0"/>
                <w:sz w:val="18"/>
                <w:lang w:eastAsia="en-GB"/>
              </w:rPr>
            </w:pPr>
            <w:r w:rsidRPr="00091930">
              <w:rPr>
                <w:rFonts w:ascii="Arial" w:eastAsia="Times New Roman" w:hAnsi="Arial" w:cs="Arial"/>
                <w:color w:val="000000"/>
                <w:kern w:val="0"/>
                <w:sz w:val="18"/>
                <w:lang w:eastAsia="en-GB"/>
              </w:rPr>
              <w:t xml:space="preserve">Population </w:t>
            </w:r>
            <w:r w:rsidR="00DC7A83">
              <w:rPr>
                <w:rFonts w:ascii="Arial" w:eastAsia="Times New Roman" w:hAnsi="Arial" w:cs="Arial"/>
                <w:color w:val="000000"/>
                <w:kern w:val="0"/>
                <w:sz w:val="18"/>
                <w:lang w:eastAsia="en-GB"/>
              </w:rPr>
              <w:t xml:space="preserve">West </w:t>
            </w:r>
            <w:proofErr w:type="spellStart"/>
            <w:r w:rsidR="00DC7A83">
              <w:rPr>
                <w:rFonts w:ascii="Arial" w:eastAsia="Times New Roman" w:hAnsi="Arial" w:cs="Arial"/>
                <w:color w:val="000000"/>
                <w:kern w:val="0"/>
                <w:sz w:val="18"/>
                <w:lang w:eastAsia="en-GB"/>
              </w:rPr>
              <w:t>Whittering</w:t>
            </w:r>
            <w:proofErr w:type="spellEnd"/>
            <w:r w:rsidRPr="00091930">
              <w:rPr>
                <w:rFonts w:ascii="Arial" w:eastAsia="Times New Roman" w:hAnsi="Arial" w:cs="Arial"/>
                <w:color w:val="000000"/>
                <w:kern w:val="0"/>
                <w:sz w:val="18"/>
                <w:lang w:eastAsia="en-GB"/>
              </w:rPr>
              <w:t>)</w:t>
            </w:r>
          </w:p>
        </w:tc>
        <w:tc>
          <w:tcPr>
            <w:tcW w:w="1380" w:type="dxa"/>
            <w:shd w:val="clear" w:color="auto" w:fill="BFBFBF" w:themeFill="background1" w:themeFillShade="BF"/>
            <w:vAlign w:val="bottom"/>
            <w:hideMark/>
          </w:tcPr>
          <w:p w:rsidR="0021554C" w:rsidRPr="00091930" w:rsidRDefault="0021554C" w:rsidP="0021554C">
            <w:pPr>
              <w:tabs>
                <w:tab w:val="clear" w:pos="284"/>
              </w:tabs>
              <w:spacing w:line="240" w:lineRule="auto"/>
              <w:jc w:val="right"/>
              <w:rPr>
                <w:rFonts w:ascii="Arial" w:eastAsia="Times New Roman" w:hAnsi="Arial" w:cs="Arial"/>
                <w:color w:val="000000"/>
                <w:kern w:val="0"/>
                <w:sz w:val="18"/>
                <w:lang w:eastAsia="en-GB"/>
              </w:rPr>
            </w:pPr>
            <w:r w:rsidRPr="00091930">
              <w:rPr>
                <w:rFonts w:ascii="Arial" w:eastAsia="Times New Roman" w:hAnsi="Arial" w:cs="Arial"/>
                <w:color w:val="000000"/>
                <w:kern w:val="0"/>
                <w:sz w:val="18"/>
                <w:lang w:eastAsia="en-GB"/>
              </w:rPr>
              <w:t xml:space="preserve">Projected 75+ population </w:t>
            </w:r>
            <w:r w:rsidR="00DC7A83">
              <w:rPr>
                <w:rFonts w:ascii="Arial" w:eastAsia="Times New Roman" w:hAnsi="Arial" w:cs="Arial"/>
                <w:color w:val="000000"/>
                <w:kern w:val="0"/>
                <w:sz w:val="18"/>
                <w:lang w:eastAsia="en-GB"/>
              </w:rPr>
              <w:t>Chichester</w:t>
            </w:r>
          </w:p>
        </w:tc>
      </w:tr>
      <w:tr w:rsidR="0021554C" w:rsidRPr="006574F8" w:rsidTr="0021554C">
        <w:trPr>
          <w:trHeight w:val="300"/>
        </w:trPr>
        <w:tc>
          <w:tcPr>
            <w:tcW w:w="1050" w:type="dxa"/>
            <w:shd w:val="clear" w:color="auto" w:fill="BFBFBF" w:themeFill="background1" w:themeFillShade="BF"/>
            <w:noWrap/>
            <w:vAlign w:val="bottom"/>
            <w:hideMark/>
          </w:tcPr>
          <w:p w:rsidR="0021554C" w:rsidRPr="00091930" w:rsidRDefault="0021554C" w:rsidP="009A6EC1">
            <w:pPr>
              <w:tabs>
                <w:tab w:val="clear" w:pos="284"/>
              </w:tabs>
              <w:spacing w:line="240" w:lineRule="auto"/>
              <w:rPr>
                <w:rFonts w:ascii="Arial" w:eastAsia="Times New Roman" w:hAnsi="Arial" w:cs="Arial"/>
                <w:color w:val="000000"/>
                <w:kern w:val="0"/>
                <w:sz w:val="18"/>
                <w:lang w:eastAsia="en-GB"/>
              </w:rPr>
            </w:pPr>
            <w:r w:rsidRPr="00091930">
              <w:rPr>
                <w:rFonts w:ascii="Arial" w:eastAsia="Times New Roman" w:hAnsi="Arial" w:cs="Arial"/>
                <w:color w:val="000000"/>
                <w:kern w:val="0"/>
                <w:sz w:val="18"/>
                <w:lang w:eastAsia="en-GB"/>
              </w:rPr>
              <w:t>All ages</w:t>
            </w:r>
          </w:p>
        </w:tc>
        <w:tc>
          <w:tcPr>
            <w:tcW w:w="1490" w:type="dxa"/>
            <w:noWrap/>
            <w:vAlign w:val="bottom"/>
          </w:tcPr>
          <w:p w:rsidR="0021554C" w:rsidRPr="00091930" w:rsidRDefault="00382CB9" w:rsidP="009A6EC1">
            <w:pPr>
              <w:tabs>
                <w:tab w:val="clear" w:pos="284"/>
              </w:tabs>
              <w:spacing w:line="240" w:lineRule="auto"/>
              <w:jc w:val="right"/>
              <w:rPr>
                <w:rFonts w:ascii="Arial" w:eastAsia="Times New Roman" w:hAnsi="Arial" w:cs="Arial"/>
                <w:color w:val="000000"/>
                <w:kern w:val="0"/>
                <w:sz w:val="18"/>
                <w:lang w:eastAsia="en-GB"/>
              </w:rPr>
            </w:pPr>
            <w:r>
              <w:rPr>
                <w:rFonts w:ascii="Arial" w:eastAsia="Times New Roman" w:hAnsi="Arial" w:cs="Arial"/>
                <w:color w:val="000000"/>
                <w:kern w:val="0"/>
                <w:sz w:val="18"/>
                <w:lang w:eastAsia="en-GB"/>
              </w:rPr>
              <w:t>2,700</w:t>
            </w:r>
          </w:p>
        </w:tc>
        <w:tc>
          <w:tcPr>
            <w:tcW w:w="1580" w:type="dxa"/>
            <w:noWrap/>
            <w:vAlign w:val="bottom"/>
          </w:tcPr>
          <w:p w:rsidR="0021554C" w:rsidRPr="00091930" w:rsidRDefault="00382CB9" w:rsidP="009A6EC1">
            <w:pPr>
              <w:tabs>
                <w:tab w:val="clear" w:pos="284"/>
              </w:tabs>
              <w:spacing w:line="240" w:lineRule="auto"/>
              <w:jc w:val="right"/>
              <w:rPr>
                <w:rFonts w:ascii="Arial" w:eastAsia="Times New Roman" w:hAnsi="Arial" w:cs="Arial"/>
                <w:color w:val="000000"/>
                <w:kern w:val="0"/>
                <w:sz w:val="18"/>
                <w:lang w:eastAsia="en-GB"/>
              </w:rPr>
            </w:pPr>
            <w:r>
              <w:rPr>
                <w:rFonts w:ascii="Arial" w:eastAsia="Times New Roman" w:hAnsi="Arial" w:cs="Arial"/>
                <w:color w:val="000000"/>
                <w:kern w:val="0"/>
                <w:sz w:val="18"/>
                <w:lang w:eastAsia="en-GB"/>
              </w:rPr>
              <w:t>113,794</w:t>
            </w:r>
          </w:p>
        </w:tc>
        <w:tc>
          <w:tcPr>
            <w:tcW w:w="1380" w:type="dxa"/>
            <w:noWrap/>
            <w:vAlign w:val="bottom"/>
          </w:tcPr>
          <w:p w:rsidR="0021554C" w:rsidRPr="00091930" w:rsidRDefault="00382CB9" w:rsidP="009A6EC1">
            <w:pPr>
              <w:tabs>
                <w:tab w:val="clear" w:pos="284"/>
              </w:tabs>
              <w:spacing w:line="240" w:lineRule="auto"/>
              <w:jc w:val="right"/>
              <w:rPr>
                <w:rFonts w:ascii="Arial" w:eastAsia="Times New Roman" w:hAnsi="Arial" w:cs="Arial"/>
                <w:color w:val="000000"/>
                <w:kern w:val="0"/>
                <w:sz w:val="18"/>
                <w:lang w:eastAsia="en-GB"/>
              </w:rPr>
            </w:pPr>
            <w:r>
              <w:rPr>
                <w:rFonts w:ascii="Arial" w:eastAsia="Times New Roman" w:hAnsi="Arial" w:cs="Arial"/>
                <w:color w:val="000000"/>
                <w:kern w:val="0"/>
                <w:sz w:val="18"/>
                <w:lang w:eastAsia="en-GB"/>
              </w:rPr>
              <w:t>2.37%</w:t>
            </w:r>
          </w:p>
        </w:tc>
        <w:tc>
          <w:tcPr>
            <w:tcW w:w="1540" w:type="dxa"/>
            <w:noWrap/>
            <w:vAlign w:val="bottom"/>
          </w:tcPr>
          <w:p w:rsidR="0021554C" w:rsidRPr="00091930" w:rsidRDefault="00382CB9" w:rsidP="009A6EC1">
            <w:pPr>
              <w:tabs>
                <w:tab w:val="clear" w:pos="284"/>
              </w:tabs>
              <w:spacing w:line="240" w:lineRule="auto"/>
              <w:jc w:val="right"/>
              <w:rPr>
                <w:rFonts w:ascii="Arial" w:eastAsia="Times New Roman" w:hAnsi="Arial" w:cs="Arial"/>
                <w:color w:val="000000"/>
                <w:kern w:val="0"/>
                <w:sz w:val="18"/>
                <w:lang w:eastAsia="en-GB"/>
              </w:rPr>
            </w:pPr>
            <w:r>
              <w:rPr>
                <w:rFonts w:ascii="Arial" w:eastAsia="Times New Roman" w:hAnsi="Arial" w:cs="Arial"/>
                <w:color w:val="000000"/>
                <w:kern w:val="0"/>
                <w:sz w:val="18"/>
                <w:lang w:eastAsia="en-GB"/>
              </w:rPr>
              <w:t>131,099</w:t>
            </w:r>
          </w:p>
        </w:tc>
        <w:tc>
          <w:tcPr>
            <w:tcW w:w="1380" w:type="dxa"/>
            <w:noWrap/>
            <w:vAlign w:val="bottom"/>
          </w:tcPr>
          <w:p w:rsidR="0021554C" w:rsidRPr="00091930" w:rsidRDefault="00382CB9" w:rsidP="009A6EC1">
            <w:pPr>
              <w:tabs>
                <w:tab w:val="clear" w:pos="284"/>
              </w:tabs>
              <w:spacing w:line="240" w:lineRule="auto"/>
              <w:jc w:val="right"/>
              <w:rPr>
                <w:rFonts w:ascii="Arial" w:eastAsia="Times New Roman" w:hAnsi="Arial" w:cs="Arial"/>
                <w:color w:val="000000"/>
                <w:kern w:val="0"/>
                <w:sz w:val="18"/>
                <w:lang w:eastAsia="en-GB"/>
              </w:rPr>
            </w:pPr>
            <w:r>
              <w:rPr>
                <w:rFonts w:ascii="Arial" w:eastAsia="Times New Roman" w:hAnsi="Arial" w:cs="Arial"/>
                <w:color w:val="000000"/>
                <w:kern w:val="0"/>
                <w:sz w:val="18"/>
                <w:lang w:eastAsia="en-GB"/>
              </w:rPr>
              <w:t>3107</w:t>
            </w:r>
          </w:p>
        </w:tc>
        <w:tc>
          <w:tcPr>
            <w:tcW w:w="1380" w:type="dxa"/>
            <w:noWrap/>
            <w:vAlign w:val="bottom"/>
          </w:tcPr>
          <w:p w:rsidR="0021554C" w:rsidRPr="00091930" w:rsidRDefault="0021554C" w:rsidP="009A6EC1">
            <w:pPr>
              <w:tabs>
                <w:tab w:val="clear" w:pos="284"/>
              </w:tabs>
              <w:spacing w:line="240" w:lineRule="auto"/>
              <w:rPr>
                <w:rFonts w:ascii="Arial" w:eastAsia="Times New Roman" w:hAnsi="Arial" w:cs="Arial"/>
                <w:color w:val="000000"/>
                <w:kern w:val="0"/>
                <w:sz w:val="18"/>
                <w:lang w:eastAsia="en-GB"/>
              </w:rPr>
            </w:pPr>
          </w:p>
        </w:tc>
      </w:tr>
      <w:tr w:rsidR="0021554C" w:rsidRPr="006574F8" w:rsidTr="0021554C">
        <w:trPr>
          <w:trHeight w:val="315"/>
        </w:trPr>
        <w:tc>
          <w:tcPr>
            <w:tcW w:w="1050" w:type="dxa"/>
            <w:shd w:val="clear" w:color="auto" w:fill="BFBFBF" w:themeFill="background1" w:themeFillShade="BF"/>
            <w:noWrap/>
            <w:vAlign w:val="bottom"/>
            <w:hideMark/>
          </w:tcPr>
          <w:p w:rsidR="0021554C" w:rsidRPr="00091930" w:rsidRDefault="0021554C" w:rsidP="009A6EC1">
            <w:pPr>
              <w:tabs>
                <w:tab w:val="clear" w:pos="284"/>
              </w:tabs>
              <w:spacing w:line="240" w:lineRule="auto"/>
              <w:rPr>
                <w:rFonts w:ascii="Arial" w:eastAsia="Times New Roman" w:hAnsi="Arial" w:cs="Arial"/>
                <w:color w:val="000000"/>
                <w:kern w:val="0"/>
                <w:sz w:val="18"/>
                <w:lang w:eastAsia="en-GB"/>
              </w:rPr>
            </w:pPr>
            <w:r w:rsidRPr="00091930">
              <w:rPr>
                <w:rFonts w:ascii="Arial" w:eastAsia="Times New Roman" w:hAnsi="Arial" w:cs="Arial"/>
                <w:color w:val="000000"/>
                <w:kern w:val="0"/>
                <w:sz w:val="18"/>
                <w:lang w:eastAsia="en-GB"/>
              </w:rPr>
              <w:t>75+</w:t>
            </w:r>
          </w:p>
        </w:tc>
        <w:tc>
          <w:tcPr>
            <w:tcW w:w="1490" w:type="dxa"/>
            <w:noWrap/>
            <w:vAlign w:val="bottom"/>
          </w:tcPr>
          <w:p w:rsidR="0021554C" w:rsidRPr="00091930" w:rsidRDefault="00382CB9" w:rsidP="009A6EC1">
            <w:pPr>
              <w:tabs>
                <w:tab w:val="clear" w:pos="284"/>
              </w:tabs>
              <w:spacing w:line="240" w:lineRule="auto"/>
              <w:jc w:val="right"/>
              <w:rPr>
                <w:rFonts w:ascii="Arial" w:eastAsia="Times New Roman" w:hAnsi="Arial" w:cs="Arial"/>
                <w:color w:val="000000"/>
                <w:kern w:val="0"/>
                <w:sz w:val="18"/>
                <w:lang w:eastAsia="en-GB"/>
              </w:rPr>
            </w:pPr>
            <w:r>
              <w:rPr>
                <w:rFonts w:ascii="Arial" w:eastAsia="Times New Roman" w:hAnsi="Arial" w:cs="Arial"/>
                <w:color w:val="000000"/>
                <w:kern w:val="0"/>
                <w:sz w:val="18"/>
                <w:lang w:eastAsia="en-GB"/>
              </w:rPr>
              <w:t>1,136</w:t>
            </w:r>
          </w:p>
        </w:tc>
        <w:tc>
          <w:tcPr>
            <w:tcW w:w="1580" w:type="dxa"/>
            <w:noWrap/>
            <w:vAlign w:val="bottom"/>
          </w:tcPr>
          <w:p w:rsidR="0021554C" w:rsidRPr="00091930" w:rsidRDefault="0021554C" w:rsidP="00382CB9">
            <w:pPr>
              <w:tabs>
                <w:tab w:val="clear" w:pos="284"/>
              </w:tabs>
              <w:spacing w:line="240" w:lineRule="auto"/>
              <w:jc w:val="right"/>
              <w:rPr>
                <w:rFonts w:ascii="Arial" w:eastAsia="Times New Roman" w:hAnsi="Arial" w:cs="Arial"/>
                <w:color w:val="000000"/>
                <w:kern w:val="0"/>
                <w:sz w:val="18"/>
                <w:lang w:eastAsia="en-GB"/>
              </w:rPr>
            </w:pPr>
          </w:p>
        </w:tc>
        <w:tc>
          <w:tcPr>
            <w:tcW w:w="1380" w:type="dxa"/>
            <w:noWrap/>
            <w:vAlign w:val="bottom"/>
          </w:tcPr>
          <w:p w:rsidR="0021554C" w:rsidRPr="00091930" w:rsidRDefault="00382CB9" w:rsidP="009A6EC1">
            <w:pPr>
              <w:tabs>
                <w:tab w:val="clear" w:pos="284"/>
              </w:tabs>
              <w:spacing w:line="240" w:lineRule="auto"/>
              <w:jc w:val="right"/>
              <w:rPr>
                <w:rFonts w:ascii="Arial" w:eastAsia="Times New Roman" w:hAnsi="Arial" w:cs="Arial"/>
                <w:color w:val="000000"/>
                <w:kern w:val="0"/>
                <w:sz w:val="18"/>
                <w:lang w:eastAsia="en-GB"/>
              </w:rPr>
            </w:pPr>
            <w:r>
              <w:rPr>
                <w:rFonts w:ascii="Arial" w:eastAsia="Times New Roman" w:hAnsi="Arial" w:cs="Arial"/>
                <w:color w:val="000000"/>
                <w:kern w:val="0"/>
                <w:sz w:val="18"/>
                <w:lang w:eastAsia="en-GB"/>
              </w:rPr>
              <w:t>42%</w:t>
            </w:r>
          </w:p>
        </w:tc>
        <w:tc>
          <w:tcPr>
            <w:tcW w:w="1540" w:type="dxa"/>
            <w:noWrap/>
            <w:vAlign w:val="bottom"/>
          </w:tcPr>
          <w:p w:rsidR="0021554C" w:rsidRPr="00091930" w:rsidRDefault="00382CB9" w:rsidP="009A6EC1">
            <w:pPr>
              <w:tabs>
                <w:tab w:val="clear" w:pos="284"/>
              </w:tabs>
              <w:spacing w:line="240" w:lineRule="auto"/>
              <w:jc w:val="right"/>
              <w:rPr>
                <w:rFonts w:ascii="Arial" w:eastAsia="Times New Roman" w:hAnsi="Arial" w:cs="Arial"/>
                <w:color w:val="000000"/>
                <w:kern w:val="0"/>
                <w:sz w:val="18"/>
                <w:lang w:eastAsia="en-GB"/>
              </w:rPr>
            </w:pPr>
            <w:r>
              <w:rPr>
                <w:rFonts w:ascii="Arial" w:eastAsia="Times New Roman" w:hAnsi="Arial" w:cs="Arial"/>
                <w:color w:val="000000"/>
                <w:kern w:val="0"/>
                <w:sz w:val="18"/>
                <w:lang w:eastAsia="en-GB"/>
              </w:rPr>
              <w:t>24,246</w:t>
            </w:r>
          </w:p>
        </w:tc>
        <w:tc>
          <w:tcPr>
            <w:tcW w:w="1380" w:type="dxa"/>
            <w:noWrap/>
            <w:vAlign w:val="bottom"/>
          </w:tcPr>
          <w:p w:rsidR="0021554C" w:rsidRPr="00091930" w:rsidRDefault="0021554C" w:rsidP="009A6EC1">
            <w:pPr>
              <w:tabs>
                <w:tab w:val="clear" w:pos="284"/>
              </w:tabs>
              <w:spacing w:line="240" w:lineRule="auto"/>
              <w:jc w:val="right"/>
              <w:rPr>
                <w:rFonts w:ascii="Arial" w:eastAsia="Times New Roman" w:hAnsi="Arial" w:cs="Arial"/>
                <w:color w:val="000000"/>
                <w:kern w:val="0"/>
                <w:sz w:val="18"/>
                <w:lang w:eastAsia="en-GB"/>
              </w:rPr>
            </w:pPr>
          </w:p>
        </w:tc>
        <w:tc>
          <w:tcPr>
            <w:tcW w:w="1380" w:type="dxa"/>
            <w:noWrap/>
            <w:vAlign w:val="bottom"/>
          </w:tcPr>
          <w:p w:rsidR="0021554C" w:rsidRPr="00091930" w:rsidRDefault="00382CB9" w:rsidP="009A6EC1">
            <w:pPr>
              <w:tabs>
                <w:tab w:val="clear" w:pos="284"/>
              </w:tabs>
              <w:spacing w:line="240" w:lineRule="auto"/>
              <w:jc w:val="right"/>
              <w:rPr>
                <w:rFonts w:ascii="Arial" w:eastAsia="Times New Roman" w:hAnsi="Arial" w:cs="Arial"/>
                <w:color w:val="000000"/>
                <w:kern w:val="0"/>
                <w:sz w:val="18"/>
                <w:lang w:eastAsia="en-GB"/>
              </w:rPr>
            </w:pPr>
            <w:r>
              <w:rPr>
                <w:rFonts w:ascii="Arial" w:eastAsia="Times New Roman" w:hAnsi="Arial" w:cs="Arial"/>
                <w:color w:val="000000"/>
                <w:kern w:val="0"/>
                <w:sz w:val="18"/>
                <w:lang w:eastAsia="en-GB"/>
              </w:rPr>
              <w:t>1305</w:t>
            </w:r>
          </w:p>
        </w:tc>
      </w:tr>
    </w:tbl>
    <w:p w:rsidR="0021554C" w:rsidRPr="00E57C48" w:rsidRDefault="0021554C" w:rsidP="00A258B5">
      <w:pPr>
        <w:pStyle w:val="Source"/>
      </w:pPr>
      <w:r w:rsidRPr="00E57C48">
        <w:t xml:space="preserve">Source: 2014-based Sub-national population projections, </w:t>
      </w:r>
      <w:r w:rsidR="00B25544">
        <w:t>MHCLG</w:t>
      </w:r>
      <w:r w:rsidRPr="00E57C48">
        <w:t xml:space="preserve"> and Census 2011 (ONS) AECOM calculations</w:t>
      </w:r>
    </w:p>
    <w:p w:rsidR="0021554C" w:rsidRPr="002B4E1A" w:rsidRDefault="0021554C" w:rsidP="0021554C">
      <w:pPr>
        <w:pStyle w:val="BodyText"/>
        <w:spacing w:after="0" w:line="276" w:lineRule="auto"/>
        <w:rPr>
          <w:rFonts w:ascii="Arial" w:eastAsia="Times New Roman" w:hAnsi="Arial" w:cs="Arial"/>
          <w:bCs/>
          <w:i/>
          <w:kern w:val="0"/>
        </w:rPr>
      </w:pPr>
    </w:p>
    <w:p w:rsidR="00150472" w:rsidRDefault="00150472" w:rsidP="00A258B5">
      <w:pPr>
        <w:pStyle w:val="ListNumber"/>
      </w:pPr>
      <w:r w:rsidRPr="009E69BA">
        <w:t>In arriving at an appropriate level of housing for older people of different types, we have applied the Housing Learning and Improvement Network’s suggested numbers per 1,000 of the 75+ population</w:t>
      </w:r>
      <w:r w:rsidR="00C22531">
        <w:t>.</w:t>
      </w:r>
      <w:r w:rsidRPr="00A56028">
        <w:rPr>
          <w:vertAlign w:val="superscript"/>
        </w:rPr>
        <w:footnoteReference w:id="28"/>
      </w:r>
      <w:r w:rsidRPr="009E69BA">
        <w:t xml:space="preserve"> </w:t>
      </w:r>
    </w:p>
    <w:p w:rsidR="00150472" w:rsidRDefault="00150472" w:rsidP="00A258B5">
      <w:pPr>
        <w:pStyle w:val="ListNumber"/>
      </w:pPr>
      <w:r>
        <w:t xml:space="preserve">The table above </w:t>
      </w:r>
      <w:r w:rsidRPr="009E69BA">
        <w:t xml:space="preserve">shows an estimate of the increase in the numbers of older people aged 75+ of </w:t>
      </w:r>
      <w:r>
        <w:t>169</w:t>
      </w:r>
      <w:r w:rsidR="00E72150">
        <w:t xml:space="preserve"> </w:t>
      </w:r>
      <w:r w:rsidRPr="009E69BA">
        <w:t>(</w:t>
      </w:r>
      <w:r>
        <w:t>1,305</w:t>
      </w:r>
      <w:r w:rsidRPr="009E69BA">
        <w:t>-</w:t>
      </w:r>
      <w:r>
        <w:t>1,136</w:t>
      </w:r>
      <w:r w:rsidRPr="009E69BA">
        <w:t xml:space="preserve">). </w:t>
      </w:r>
    </w:p>
    <w:p w:rsidR="00150472" w:rsidRDefault="00150472" w:rsidP="00A258B5">
      <w:pPr>
        <w:pStyle w:val="ListNumber"/>
      </w:pPr>
      <w:r>
        <w:t xml:space="preserve">The method we use to </w:t>
      </w:r>
      <w:proofErr w:type="gramStart"/>
      <w:r>
        <w:t>arrive</w:t>
      </w:r>
      <w:proofErr w:type="gramEnd"/>
      <w:r>
        <w:t xml:space="preserve"> this number can only be an estimate given that </w:t>
      </w:r>
      <w:r w:rsidR="00B25544">
        <w:t>MHCLG</w:t>
      </w:r>
      <w:r>
        <w:t xml:space="preserve"> population projections </w:t>
      </w:r>
      <w:r w:rsidRPr="0027058A">
        <w:rPr>
          <w:u w:val="single"/>
        </w:rPr>
        <w:t xml:space="preserve">do not provide data at the </w:t>
      </w:r>
      <w:r w:rsidR="005F5CF8">
        <w:rPr>
          <w:u w:val="single"/>
        </w:rPr>
        <w:t>Parish</w:t>
      </w:r>
      <w:r w:rsidRPr="0027058A">
        <w:rPr>
          <w:u w:val="single"/>
        </w:rPr>
        <w:t xml:space="preserve"> level</w:t>
      </w:r>
      <w:r>
        <w:t xml:space="preserve">. AECOM uses a four step method to arrive at the estimate:  </w:t>
      </w:r>
    </w:p>
    <w:p w:rsidR="00150472" w:rsidRDefault="00150472" w:rsidP="009144D7">
      <w:pPr>
        <w:pStyle w:val="ListBullet"/>
      </w:pPr>
      <w:r>
        <w:t>The population size for</w:t>
      </w:r>
      <w:r w:rsidR="00E72150">
        <w:t xml:space="preserve"> Chichester</w:t>
      </w:r>
      <w:r>
        <w:t xml:space="preserve"> </w:t>
      </w:r>
      <w:r w:rsidR="00E72150">
        <w:t>is taken</w:t>
      </w:r>
      <w:r>
        <w:t>;</w:t>
      </w:r>
    </w:p>
    <w:p w:rsidR="00150472" w:rsidRDefault="00150472" w:rsidP="009144D7">
      <w:pPr>
        <w:pStyle w:val="ListBullet"/>
      </w:pPr>
      <w:r>
        <w:t xml:space="preserve">We arrive at an estimate of the size of the total population in </w:t>
      </w:r>
      <w:r w:rsidR="00E72150">
        <w:t>West Wittering</w:t>
      </w:r>
      <w:r>
        <w:t xml:space="preserve"> at end of </w:t>
      </w:r>
      <w:r w:rsidR="000375DA">
        <w:t>Plan period</w:t>
      </w:r>
      <w:r>
        <w:t xml:space="preserve"> by </w:t>
      </w:r>
      <w:r w:rsidRPr="00A46C6C">
        <w:t xml:space="preserve">assuming it is the </w:t>
      </w:r>
      <w:r w:rsidRPr="00A46C6C">
        <w:rPr>
          <w:u w:val="single"/>
        </w:rPr>
        <w:t>same proportion</w:t>
      </w:r>
      <w:r w:rsidRPr="00A46C6C">
        <w:t xml:space="preserve"> of the </w:t>
      </w:r>
      <w:r w:rsidR="00E72150">
        <w:t>Chichester</w:t>
      </w:r>
      <w:r w:rsidRPr="00A46C6C">
        <w:t xml:space="preserve"> population as in 2011;</w:t>
      </w:r>
    </w:p>
    <w:p w:rsidR="00150472" w:rsidRDefault="00E72150" w:rsidP="009144D7">
      <w:pPr>
        <w:pStyle w:val="ListBullet"/>
      </w:pPr>
      <w:r>
        <w:t>T</w:t>
      </w:r>
      <w:r w:rsidR="00150472">
        <w:t xml:space="preserve">o arrive at an estimate of the 75+ population in </w:t>
      </w:r>
      <w:r>
        <w:t xml:space="preserve">West Wittering </w:t>
      </w:r>
      <w:r w:rsidR="00150472">
        <w:t xml:space="preserve">at the end of the </w:t>
      </w:r>
      <w:r w:rsidR="000375DA">
        <w:t>Plan period</w:t>
      </w:r>
      <w:r w:rsidR="00150472">
        <w:t xml:space="preserve">, we assume % in the NPA is </w:t>
      </w:r>
      <w:r>
        <w:t xml:space="preserve">the same as it was in 2011. </w:t>
      </w:r>
      <w:r w:rsidR="00150472">
        <w:t xml:space="preserve"> </w:t>
      </w:r>
    </w:p>
    <w:p w:rsidR="00150472" w:rsidRPr="00E72150" w:rsidRDefault="00E72150" w:rsidP="009144D7">
      <w:pPr>
        <w:pStyle w:val="ListBullet"/>
      </w:pPr>
      <w:r w:rsidRPr="00E72150">
        <w:t xml:space="preserve">Given the projected increase in the numbers of the older population, it is important to acknowledge this may under-estimate the numbers of elderly in 2033. </w:t>
      </w:r>
      <w:r>
        <w:t xml:space="preserve">The following data should therefore be treated as an estimate. </w:t>
      </w:r>
    </w:p>
    <w:p w:rsidR="00150472" w:rsidRPr="009E69BA" w:rsidRDefault="00E72150" w:rsidP="00A258B5">
      <w:pPr>
        <w:pStyle w:val="ListNumber"/>
      </w:pPr>
      <w:r>
        <w:lastRenderedPageBreak/>
        <w:t xml:space="preserve">Our </w:t>
      </w:r>
      <w:r w:rsidR="00150472">
        <w:t xml:space="preserve">method results </w:t>
      </w:r>
      <w:r>
        <w:t xml:space="preserve">in </w:t>
      </w:r>
      <w:r w:rsidR="00150472">
        <w:t>(using the housing LIN approach)</w:t>
      </w:r>
      <w:r w:rsidR="00150472" w:rsidRPr="009E69BA">
        <w:t xml:space="preserve">, over the </w:t>
      </w:r>
      <w:r w:rsidR="000375DA">
        <w:t>Plan period</w:t>
      </w:r>
      <w:r w:rsidR="00150472" w:rsidRPr="009E69BA">
        <w:t xml:space="preserve">, in a </w:t>
      </w:r>
      <w:r w:rsidR="005F5CF8">
        <w:t>Parish</w:t>
      </w:r>
      <w:r w:rsidR="00150472">
        <w:t xml:space="preserve"> </w:t>
      </w:r>
      <w:r w:rsidR="00150472" w:rsidRPr="009E69BA">
        <w:t xml:space="preserve">need for: </w:t>
      </w:r>
    </w:p>
    <w:p w:rsidR="0021554C" w:rsidRPr="002B4E1A" w:rsidRDefault="0021554C" w:rsidP="0021554C">
      <w:pPr>
        <w:pStyle w:val="BodyText"/>
        <w:numPr>
          <w:ilvl w:val="0"/>
          <w:numId w:val="33"/>
        </w:numPr>
        <w:spacing w:line="276" w:lineRule="auto"/>
        <w:rPr>
          <w:rFonts w:ascii="Arial" w:eastAsia="Times New Roman" w:hAnsi="Arial" w:cs="Arial"/>
          <w:bCs/>
          <w:iCs/>
          <w:kern w:val="0"/>
        </w:rPr>
      </w:pPr>
      <w:r w:rsidRPr="002B4E1A">
        <w:rPr>
          <w:rFonts w:ascii="Arial" w:eastAsia="Times New Roman" w:hAnsi="Arial" w:cs="Arial"/>
          <w:bCs/>
          <w:iCs/>
          <w:kern w:val="0"/>
        </w:rPr>
        <w:t xml:space="preserve">additional conventional sheltered housing units = 60 x </w:t>
      </w:r>
      <w:r w:rsidR="00E72150">
        <w:rPr>
          <w:rFonts w:ascii="Arial" w:eastAsia="Times New Roman" w:hAnsi="Arial" w:cs="Arial"/>
          <w:bCs/>
          <w:iCs/>
          <w:kern w:val="0"/>
        </w:rPr>
        <w:t>16.9</w:t>
      </w:r>
      <w:r w:rsidRPr="002B4E1A">
        <w:rPr>
          <w:rFonts w:ascii="Arial" w:eastAsia="Times New Roman" w:hAnsi="Arial" w:cs="Arial"/>
          <w:bCs/>
          <w:iCs/>
          <w:kern w:val="0"/>
        </w:rPr>
        <w:t xml:space="preserve">% = </w:t>
      </w:r>
      <w:r w:rsidR="00E72150">
        <w:rPr>
          <w:rFonts w:ascii="Arial" w:eastAsia="Times New Roman" w:hAnsi="Arial" w:cs="Arial"/>
          <w:bCs/>
          <w:iCs/>
          <w:kern w:val="0"/>
        </w:rPr>
        <w:t>10</w:t>
      </w:r>
      <w:r w:rsidRPr="002B4E1A">
        <w:rPr>
          <w:rFonts w:ascii="Arial" w:eastAsia="Times New Roman" w:hAnsi="Arial" w:cs="Arial"/>
          <w:bCs/>
          <w:iCs/>
          <w:kern w:val="0"/>
        </w:rPr>
        <w:t xml:space="preserve"> (rounded)</w:t>
      </w:r>
    </w:p>
    <w:p w:rsidR="0021554C" w:rsidRPr="002B4E1A" w:rsidRDefault="0021554C" w:rsidP="0021554C">
      <w:pPr>
        <w:pStyle w:val="BodyText"/>
        <w:numPr>
          <w:ilvl w:val="0"/>
          <w:numId w:val="33"/>
        </w:numPr>
        <w:spacing w:line="276" w:lineRule="auto"/>
        <w:rPr>
          <w:rFonts w:ascii="Arial" w:eastAsia="Times New Roman" w:hAnsi="Arial" w:cs="Arial"/>
          <w:bCs/>
          <w:iCs/>
          <w:kern w:val="0"/>
        </w:rPr>
      </w:pPr>
      <w:r w:rsidRPr="002B4E1A">
        <w:rPr>
          <w:rFonts w:ascii="Arial" w:eastAsia="Times New Roman" w:hAnsi="Arial" w:cs="Arial"/>
          <w:bCs/>
          <w:iCs/>
          <w:kern w:val="0"/>
        </w:rPr>
        <w:t xml:space="preserve">additional leasehold sheltered housing units = 120 x </w:t>
      </w:r>
      <w:r w:rsidR="00E72150">
        <w:rPr>
          <w:rFonts w:ascii="Arial" w:eastAsia="Times New Roman" w:hAnsi="Arial" w:cs="Arial"/>
          <w:bCs/>
          <w:iCs/>
          <w:kern w:val="0"/>
        </w:rPr>
        <w:t>16.9</w:t>
      </w:r>
      <w:r w:rsidRPr="002B4E1A">
        <w:rPr>
          <w:rFonts w:ascii="Arial" w:eastAsia="Times New Roman" w:hAnsi="Arial" w:cs="Arial"/>
          <w:bCs/>
          <w:iCs/>
          <w:kern w:val="0"/>
        </w:rPr>
        <w:t xml:space="preserve">% = </w:t>
      </w:r>
      <w:r w:rsidR="00E72150">
        <w:rPr>
          <w:rFonts w:ascii="Arial" w:eastAsia="Times New Roman" w:hAnsi="Arial" w:cs="Arial"/>
          <w:bCs/>
          <w:iCs/>
          <w:kern w:val="0"/>
        </w:rPr>
        <w:t>20</w:t>
      </w:r>
      <w:r w:rsidRPr="002B4E1A">
        <w:rPr>
          <w:rFonts w:ascii="Arial" w:eastAsia="Times New Roman" w:hAnsi="Arial" w:cs="Arial"/>
          <w:bCs/>
          <w:iCs/>
          <w:kern w:val="0"/>
        </w:rPr>
        <w:t xml:space="preserve"> (rounded)</w:t>
      </w:r>
    </w:p>
    <w:p w:rsidR="0021554C" w:rsidRPr="002B4E1A" w:rsidRDefault="0021554C" w:rsidP="0021554C">
      <w:pPr>
        <w:pStyle w:val="BodyText"/>
        <w:numPr>
          <w:ilvl w:val="0"/>
          <w:numId w:val="33"/>
        </w:numPr>
        <w:spacing w:line="276" w:lineRule="auto"/>
        <w:rPr>
          <w:rFonts w:ascii="Arial" w:eastAsia="Times New Roman" w:hAnsi="Arial" w:cs="Arial"/>
          <w:bCs/>
          <w:iCs/>
          <w:kern w:val="0"/>
        </w:rPr>
      </w:pPr>
      <w:r w:rsidRPr="002B4E1A">
        <w:rPr>
          <w:rFonts w:ascii="Arial" w:eastAsia="Times New Roman" w:hAnsi="Arial" w:cs="Arial"/>
          <w:bCs/>
          <w:iCs/>
          <w:kern w:val="0"/>
        </w:rPr>
        <w:t xml:space="preserve">additional ‘enhanced’ sheltered units, split 50:50 between those for rent and those for sale = 20 x </w:t>
      </w:r>
      <w:r w:rsidR="00E72150">
        <w:rPr>
          <w:rFonts w:ascii="Arial" w:eastAsia="Times New Roman" w:hAnsi="Arial" w:cs="Arial"/>
          <w:bCs/>
          <w:iCs/>
          <w:kern w:val="0"/>
        </w:rPr>
        <w:t>16.9</w:t>
      </w:r>
      <w:r w:rsidRPr="002B4E1A">
        <w:rPr>
          <w:rFonts w:ascii="Arial" w:eastAsia="Times New Roman" w:hAnsi="Arial" w:cs="Arial"/>
          <w:bCs/>
          <w:iCs/>
          <w:kern w:val="0"/>
        </w:rPr>
        <w:t>% =</w:t>
      </w:r>
      <w:r w:rsidR="00E72150">
        <w:rPr>
          <w:rFonts w:ascii="Arial" w:eastAsia="Times New Roman" w:hAnsi="Arial" w:cs="Arial"/>
          <w:bCs/>
          <w:iCs/>
          <w:kern w:val="0"/>
        </w:rPr>
        <w:t xml:space="preserve"> 4</w:t>
      </w:r>
      <w:r w:rsidRPr="002B4E1A">
        <w:rPr>
          <w:rFonts w:ascii="Arial" w:eastAsia="Times New Roman" w:hAnsi="Arial" w:cs="Arial"/>
          <w:bCs/>
          <w:iCs/>
          <w:kern w:val="0"/>
        </w:rPr>
        <w:t xml:space="preserve"> (rounded)</w:t>
      </w:r>
    </w:p>
    <w:p w:rsidR="0021554C" w:rsidRPr="002B4E1A" w:rsidRDefault="0021554C" w:rsidP="0021554C">
      <w:pPr>
        <w:pStyle w:val="BodyText"/>
        <w:numPr>
          <w:ilvl w:val="0"/>
          <w:numId w:val="33"/>
        </w:numPr>
        <w:spacing w:line="276" w:lineRule="auto"/>
        <w:rPr>
          <w:rFonts w:ascii="Arial" w:eastAsia="Times New Roman" w:hAnsi="Arial" w:cs="Arial"/>
          <w:bCs/>
          <w:iCs/>
          <w:kern w:val="0"/>
        </w:rPr>
      </w:pPr>
      <w:r w:rsidRPr="002B4E1A">
        <w:rPr>
          <w:rFonts w:ascii="Arial" w:eastAsia="Times New Roman" w:hAnsi="Arial" w:cs="Arial"/>
          <w:bCs/>
          <w:iCs/>
          <w:kern w:val="0"/>
        </w:rPr>
        <w:t xml:space="preserve">additional extra care housing units for rent =15 x </w:t>
      </w:r>
      <w:r w:rsidR="00E72150">
        <w:rPr>
          <w:rFonts w:ascii="Arial" w:eastAsia="Times New Roman" w:hAnsi="Arial" w:cs="Arial"/>
          <w:bCs/>
          <w:iCs/>
          <w:kern w:val="0"/>
        </w:rPr>
        <w:t>16.9</w:t>
      </w:r>
      <w:r w:rsidRPr="002B4E1A">
        <w:rPr>
          <w:rFonts w:ascii="Arial" w:eastAsia="Times New Roman" w:hAnsi="Arial" w:cs="Arial"/>
          <w:bCs/>
          <w:iCs/>
          <w:kern w:val="0"/>
        </w:rPr>
        <w:t xml:space="preserve">% = </w:t>
      </w:r>
      <w:r w:rsidR="00E72150">
        <w:rPr>
          <w:rFonts w:ascii="Arial" w:eastAsia="Times New Roman" w:hAnsi="Arial" w:cs="Arial"/>
          <w:bCs/>
          <w:iCs/>
          <w:kern w:val="0"/>
        </w:rPr>
        <w:t xml:space="preserve">3 </w:t>
      </w:r>
      <w:r w:rsidRPr="002B4E1A">
        <w:rPr>
          <w:rFonts w:ascii="Arial" w:eastAsia="Times New Roman" w:hAnsi="Arial" w:cs="Arial"/>
          <w:bCs/>
          <w:iCs/>
          <w:kern w:val="0"/>
        </w:rPr>
        <w:t>(rounded)</w:t>
      </w:r>
    </w:p>
    <w:p w:rsidR="0021554C" w:rsidRPr="002B4E1A" w:rsidRDefault="0021554C" w:rsidP="0021554C">
      <w:pPr>
        <w:pStyle w:val="BodyText"/>
        <w:numPr>
          <w:ilvl w:val="0"/>
          <w:numId w:val="33"/>
        </w:numPr>
        <w:spacing w:line="276" w:lineRule="auto"/>
        <w:rPr>
          <w:rFonts w:ascii="Arial" w:eastAsia="Times New Roman" w:hAnsi="Arial" w:cs="Arial"/>
          <w:bCs/>
          <w:iCs/>
          <w:kern w:val="0"/>
        </w:rPr>
      </w:pPr>
      <w:r w:rsidRPr="002B4E1A">
        <w:rPr>
          <w:rFonts w:ascii="Arial" w:eastAsia="Times New Roman" w:hAnsi="Arial" w:cs="Arial"/>
          <w:bCs/>
          <w:iCs/>
          <w:kern w:val="0"/>
        </w:rPr>
        <w:t xml:space="preserve">additional extra care housing units for sale = 30 x </w:t>
      </w:r>
      <w:r w:rsidR="00E72150">
        <w:rPr>
          <w:rFonts w:ascii="Arial" w:eastAsia="Times New Roman" w:hAnsi="Arial" w:cs="Arial"/>
          <w:bCs/>
          <w:iCs/>
          <w:kern w:val="0"/>
        </w:rPr>
        <w:t>16.9</w:t>
      </w:r>
      <w:r w:rsidRPr="002B4E1A">
        <w:rPr>
          <w:rFonts w:ascii="Arial" w:eastAsia="Times New Roman" w:hAnsi="Arial" w:cs="Arial"/>
          <w:bCs/>
          <w:iCs/>
          <w:kern w:val="0"/>
        </w:rPr>
        <w:t xml:space="preserve">% = </w:t>
      </w:r>
      <w:r w:rsidR="00E72150">
        <w:rPr>
          <w:rFonts w:ascii="Arial" w:eastAsia="Times New Roman" w:hAnsi="Arial" w:cs="Arial"/>
          <w:bCs/>
          <w:iCs/>
          <w:kern w:val="0"/>
        </w:rPr>
        <w:t xml:space="preserve">6 </w:t>
      </w:r>
      <w:r w:rsidRPr="002B4E1A">
        <w:rPr>
          <w:rFonts w:ascii="Arial" w:eastAsia="Times New Roman" w:hAnsi="Arial" w:cs="Arial"/>
          <w:bCs/>
          <w:iCs/>
          <w:kern w:val="0"/>
        </w:rPr>
        <w:t>(rounded)</w:t>
      </w:r>
    </w:p>
    <w:p w:rsidR="0021554C" w:rsidRDefault="0021554C" w:rsidP="0021554C">
      <w:pPr>
        <w:pStyle w:val="BodyText"/>
        <w:numPr>
          <w:ilvl w:val="0"/>
          <w:numId w:val="33"/>
        </w:numPr>
        <w:spacing w:line="276" w:lineRule="auto"/>
        <w:rPr>
          <w:rFonts w:ascii="Arial" w:eastAsia="Times New Roman" w:hAnsi="Arial" w:cs="Arial"/>
          <w:bCs/>
          <w:iCs/>
          <w:kern w:val="0"/>
        </w:rPr>
      </w:pPr>
      <w:r w:rsidRPr="002B4E1A">
        <w:rPr>
          <w:rFonts w:ascii="Arial" w:eastAsia="Times New Roman" w:hAnsi="Arial" w:cs="Arial"/>
          <w:bCs/>
          <w:iCs/>
          <w:kern w:val="0"/>
        </w:rPr>
        <w:t xml:space="preserve">additional specialist dementia care home = 6 x </w:t>
      </w:r>
      <w:r w:rsidR="00E72150">
        <w:rPr>
          <w:rFonts w:ascii="Arial" w:eastAsia="Times New Roman" w:hAnsi="Arial" w:cs="Arial"/>
          <w:bCs/>
          <w:iCs/>
          <w:kern w:val="0"/>
        </w:rPr>
        <w:t>16.9</w:t>
      </w:r>
      <w:r w:rsidRPr="002B4E1A">
        <w:rPr>
          <w:rFonts w:ascii="Arial" w:eastAsia="Times New Roman" w:hAnsi="Arial" w:cs="Arial"/>
          <w:bCs/>
          <w:iCs/>
          <w:kern w:val="0"/>
        </w:rPr>
        <w:t xml:space="preserve">% = </w:t>
      </w:r>
      <w:r w:rsidR="00E72150">
        <w:rPr>
          <w:rFonts w:ascii="Arial" w:eastAsia="Times New Roman" w:hAnsi="Arial" w:cs="Arial"/>
          <w:bCs/>
          <w:iCs/>
          <w:kern w:val="0"/>
        </w:rPr>
        <w:t>1</w:t>
      </w:r>
      <w:r w:rsidRPr="002B4E1A">
        <w:rPr>
          <w:rFonts w:ascii="Arial" w:eastAsia="Times New Roman" w:hAnsi="Arial" w:cs="Arial"/>
          <w:bCs/>
          <w:iCs/>
          <w:kern w:val="0"/>
        </w:rPr>
        <w:t xml:space="preserve"> (rounded)</w:t>
      </w:r>
    </w:p>
    <w:p w:rsidR="003B219E" w:rsidRDefault="003B219E" w:rsidP="00A258B5">
      <w:pPr>
        <w:pStyle w:val="ListNumber"/>
      </w:pPr>
      <w:r>
        <w:t xml:space="preserve">Note that there is no obligation for these all to be provided within the </w:t>
      </w:r>
      <w:r w:rsidR="005F5CF8">
        <w:t>Parish</w:t>
      </w:r>
      <w:r>
        <w:t xml:space="preserve"> itself and clearly in some cases, such as providing a single specialist dementia care dwelling, it would not be economically feasible to do so. As such, these</w:t>
      </w:r>
      <w:r w:rsidR="008B1E50">
        <w:t xml:space="preserve"> 40</w:t>
      </w:r>
      <w:r>
        <w:t xml:space="preserve"> specialist dwellings need not be thought of as all needing to be provided within the neighbourhood plan housing target- rather, there will be some overlap between these dwellings and the target, depending on the number that could be provided within the </w:t>
      </w:r>
      <w:r w:rsidR="005F5CF8">
        <w:t>Parish</w:t>
      </w:r>
      <w:r>
        <w:t xml:space="preserve"> itself.</w:t>
      </w:r>
    </w:p>
    <w:p w:rsidR="003B219E" w:rsidRDefault="003B219E" w:rsidP="00A258B5">
      <w:pPr>
        <w:pStyle w:val="ListNumber"/>
      </w:pPr>
      <w:r>
        <w:t xml:space="preserve">This specialist dwelling need is likely therefore to be split between the </w:t>
      </w:r>
      <w:r w:rsidR="005F5CF8">
        <w:t>Parish</w:t>
      </w:r>
      <w:r>
        <w:t xml:space="preserve"> and the rest of the </w:t>
      </w:r>
      <w:r w:rsidR="005F5CF8">
        <w:t>District</w:t>
      </w:r>
      <w:r>
        <w:t xml:space="preserve">, which will enable the elderly to live either within or as close to the </w:t>
      </w:r>
      <w:r w:rsidR="005F5CF8">
        <w:t>Parish</w:t>
      </w:r>
      <w:r>
        <w:t xml:space="preserve"> as possible, taking account of the fact that </w:t>
      </w:r>
      <w:r w:rsidR="008B1E50">
        <w:t>West Wittering</w:t>
      </w:r>
      <w:r>
        <w:t xml:space="preserve"> is unlikely to be able to provide many of the specialist housing types needed within its own boundaries- although there could be the potential for these to be provided at, for example, </w:t>
      </w:r>
      <w:r w:rsidR="008C15F4">
        <w:t xml:space="preserve">Chichester or Bognor Regis, </w:t>
      </w:r>
      <w:r>
        <w:t>taking account of their higher levels of accessibility to services and facilities, which will help in the recruitment and retention of specialist care staff and enable economies of scale (e.g. a centralised dementia care unit or enhanced sheltered development serving a widely dispersed rural population from a single location).</w:t>
      </w:r>
    </w:p>
    <w:p w:rsidR="0021554C" w:rsidRPr="000C35A2" w:rsidRDefault="0021554C" w:rsidP="0021554C">
      <w:pPr>
        <w:pStyle w:val="Heading3"/>
      </w:pPr>
      <w:bookmarkStart w:id="119" w:name="_Toc482786322"/>
      <w:bookmarkStart w:id="120" w:name="_Toc486850636"/>
      <w:bookmarkStart w:id="121" w:name="_Toc488669511"/>
      <w:r w:rsidRPr="000C35A2">
        <w:t>Retirement villages</w:t>
      </w:r>
      <w:bookmarkEnd w:id="119"/>
      <w:bookmarkEnd w:id="120"/>
      <w:bookmarkEnd w:id="121"/>
      <w:r w:rsidRPr="000C35A2">
        <w:t xml:space="preserve"> </w:t>
      </w:r>
    </w:p>
    <w:p w:rsidR="0021554C" w:rsidRPr="00091930" w:rsidRDefault="0021554C" w:rsidP="0021554C">
      <w:pPr>
        <w:pStyle w:val="ListNumber"/>
        <w:ind w:left="709"/>
      </w:pPr>
      <w:bookmarkStart w:id="122" w:name="_Toc482786323"/>
      <w:bookmarkStart w:id="123" w:name="_Toc486850637"/>
      <w:r w:rsidRPr="00091930">
        <w:t xml:space="preserve">Projects that involve the delivery of multiple homes satisfy the desire on the part of many older people to live in an environment with people facing similar challenges; retirement villages are often a cost-effective means of delivering sheltered and extra care housing together with the facilities and services these settlements imply. Given the numbers of units that result from the LIN analysis, it would be appropriate to consider this approach to the delivery of housing for the elderly in </w:t>
      </w:r>
      <w:r w:rsidR="00DC7A83">
        <w:t>West Wittering</w:t>
      </w:r>
      <w:r w:rsidRPr="00091930">
        <w:t xml:space="preserve">. </w:t>
      </w:r>
    </w:p>
    <w:p w:rsidR="0021554C" w:rsidRPr="00091930" w:rsidRDefault="0021554C" w:rsidP="0021554C">
      <w:pPr>
        <w:pStyle w:val="ListNumber"/>
        <w:ind w:left="709"/>
        <w:jc w:val="both"/>
        <w:rPr>
          <w:rFonts w:ascii="Arial" w:hAnsi="Arial" w:cs="Arial"/>
        </w:rPr>
      </w:pPr>
      <w:r w:rsidRPr="00091930">
        <w:rPr>
          <w:rFonts w:ascii="Arial" w:hAnsi="Arial" w:cs="Arial"/>
        </w:rPr>
        <w:t xml:space="preserve">This is in line with community need as understood by WTC who comment, ‘there is a demand for self-catered independent good quality safe and secure housing where similar minded individuals can live as a community with access to facilities, especially reasonable shopping, transport, doctors, opticians and dentists.’   </w:t>
      </w:r>
    </w:p>
    <w:p w:rsidR="0021554C" w:rsidRPr="00091930" w:rsidRDefault="0021554C" w:rsidP="0021554C">
      <w:pPr>
        <w:pStyle w:val="ListNumber"/>
        <w:ind w:left="709"/>
        <w:jc w:val="both"/>
        <w:rPr>
          <w:rFonts w:ascii="Arial" w:hAnsi="Arial" w:cs="Arial"/>
        </w:rPr>
      </w:pPr>
      <w:r w:rsidRPr="00091930">
        <w:rPr>
          <w:rFonts w:ascii="Arial" w:hAnsi="Arial" w:cs="Arial"/>
        </w:rPr>
        <w:t xml:space="preserve">Such schemes should be explored through joint working with </w:t>
      </w:r>
      <w:r w:rsidR="00DC7A83">
        <w:rPr>
          <w:rFonts w:ascii="Arial" w:hAnsi="Arial" w:cs="Arial"/>
        </w:rPr>
        <w:t>CDC</w:t>
      </w:r>
      <w:r w:rsidRPr="00091930">
        <w:rPr>
          <w:rFonts w:ascii="Arial" w:hAnsi="Arial" w:cs="Arial"/>
        </w:rPr>
        <w:t xml:space="preserve"> and other </w:t>
      </w:r>
      <w:r w:rsidR="005F5CF8">
        <w:rPr>
          <w:rFonts w:ascii="Arial" w:hAnsi="Arial" w:cs="Arial"/>
        </w:rPr>
        <w:t>Parish</w:t>
      </w:r>
      <w:r w:rsidRPr="00091930">
        <w:rPr>
          <w:rFonts w:ascii="Arial" w:hAnsi="Arial" w:cs="Arial"/>
        </w:rPr>
        <w:t xml:space="preserve">es to identify sites that could address collective need. </w:t>
      </w:r>
    </w:p>
    <w:p w:rsidR="0021554C" w:rsidRPr="000C35A2" w:rsidRDefault="0021554C" w:rsidP="0021554C">
      <w:pPr>
        <w:pStyle w:val="Heading3"/>
      </w:pPr>
      <w:r>
        <w:t xml:space="preserve"> </w:t>
      </w:r>
      <w:r>
        <w:tab/>
      </w:r>
      <w:bookmarkStart w:id="124" w:name="_Toc488669512"/>
      <w:r w:rsidRPr="000C35A2">
        <w:t xml:space="preserve">Senior </w:t>
      </w:r>
      <w:r w:rsidR="00C462FD">
        <w:t>c</w:t>
      </w:r>
      <w:r w:rsidRPr="000C35A2">
        <w:t>o-housing</w:t>
      </w:r>
      <w:bookmarkEnd w:id="122"/>
      <w:bookmarkEnd w:id="123"/>
      <w:bookmarkEnd w:id="124"/>
    </w:p>
    <w:p w:rsidR="0021554C" w:rsidRPr="00091930" w:rsidRDefault="0021554C" w:rsidP="0021554C">
      <w:pPr>
        <w:pStyle w:val="ListNumber"/>
        <w:ind w:left="708"/>
      </w:pPr>
      <w:bookmarkStart w:id="125" w:name="_Toc482786324"/>
      <w:bookmarkStart w:id="126" w:name="_Toc486850638"/>
      <w:r w:rsidRPr="00091930">
        <w:t>Co-housing has been identified as being particularly suited to the needs of older residents. It offers a way for a group of people with similar interests and needs to come together to create an environment suited specifically to their requirements. Moreover, it can be designed to help address one of the most important issues for older people: isolation and loneliness. A number of successful case studies exist of both projects developed specifically with the needs of older people in mind, and others that encourage multi-generational housing, such as Featherstone Lodge in Forest Hill</w:t>
      </w:r>
      <w:r w:rsidRPr="00091930">
        <w:rPr>
          <w:rFonts w:eastAsia="Calibri"/>
          <w:vertAlign w:val="superscript"/>
        </w:rPr>
        <w:footnoteReference w:id="29"/>
      </w:r>
      <w:r w:rsidRPr="00091930">
        <w:t xml:space="preserve"> and LILAC in Leeds</w:t>
      </w:r>
      <w:r w:rsidRPr="00091930">
        <w:rPr>
          <w:rFonts w:eastAsia="Calibri"/>
          <w:vertAlign w:val="superscript"/>
        </w:rPr>
        <w:footnoteReference w:id="30"/>
      </w:r>
      <w:r w:rsidRPr="00091930">
        <w:t xml:space="preserve">. In the first example, the design facilitated the creation of public areas that encouraged social interaction between members of the community, moreover, a ‘common house’ was built in the grounds of the scheme that provided a shared space in which people could come together for meeting and shared activities. </w:t>
      </w:r>
    </w:p>
    <w:p w:rsidR="0021554C" w:rsidRPr="000C35A2" w:rsidRDefault="0021554C" w:rsidP="0021554C">
      <w:pPr>
        <w:pStyle w:val="Heading3"/>
      </w:pPr>
      <w:r>
        <w:t xml:space="preserve"> </w:t>
      </w:r>
      <w:r>
        <w:tab/>
      </w:r>
      <w:bookmarkStart w:id="127" w:name="_Toc488669513"/>
      <w:r w:rsidRPr="000C35A2">
        <w:t>Multi-generational homes</w:t>
      </w:r>
      <w:bookmarkEnd w:id="125"/>
      <w:bookmarkEnd w:id="126"/>
      <w:bookmarkEnd w:id="127"/>
    </w:p>
    <w:p w:rsidR="0021554C" w:rsidRPr="002B4E1A" w:rsidRDefault="0021554C" w:rsidP="0021554C">
      <w:pPr>
        <w:pStyle w:val="ListNumber"/>
        <w:ind w:left="708"/>
      </w:pPr>
      <w:r w:rsidRPr="002B4E1A">
        <w:t xml:space="preserve">Multi-generational living has been identified as a possible solution not only for older people, but all generations where it makes financial sense to share accommodation, particularly younger people who are struggling to set up </w:t>
      </w:r>
      <w:r w:rsidRPr="002B4E1A">
        <w:lastRenderedPageBreak/>
        <w:t>their own households. This gives rise not only to designs for new homes, but conversions to existing dwellings, introducing internal subdivisions and peripheral extensions to create internal layouts that balance the private needs of different generations with the benefits of over-lapping, shared communal spaces.</w:t>
      </w:r>
      <w:r w:rsidRPr="002B4E1A">
        <w:rPr>
          <w:rFonts w:eastAsia="Calibri"/>
          <w:vertAlign w:val="superscript"/>
        </w:rPr>
        <w:footnoteReference w:id="31"/>
      </w:r>
      <w:r w:rsidRPr="002B4E1A">
        <w:t xml:space="preserve"> </w:t>
      </w:r>
    </w:p>
    <w:p w:rsidR="0021554C" w:rsidRPr="002B4E1A" w:rsidRDefault="0021554C" w:rsidP="0021554C">
      <w:pPr>
        <w:pStyle w:val="ListNumber"/>
        <w:ind w:left="708"/>
      </w:pPr>
      <w:r w:rsidRPr="002B4E1A">
        <w:t xml:space="preserve">The phenomenon of the aging population has an up-side; with increases in the quality of health-care, older people are able to live active lives for longer, the so-called ‘third age’ after retirement when people still want to live fully active lives. Within a household or community where tasks and facilities are shared, they are in a good position to take on both voluntary and paid work, for example looking after grandchildren or taking care of the elderly. </w:t>
      </w:r>
    </w:p>
    <w:p w:rsidR="0021554C" w:rsidRPr="000C35A2" w:rsidRDefault="0021554C" w:rsidP="0021554C">
      <w:pPr>
        <w:pStyle w:val="Heading3"/>
      </w:pPr>
      <w:bookmarkStart w:id="128" w:name="_Toc482786325"/>
      <w:bookmarkStart w:id="129" w:name="_Toc486850639"/>
      <w:r>
        <w:t xml:space="preserve"> </w:t>
      </w:r>
      <w:r>
        <w:tab/>
      </w:r>
      <w:bookmarkStart w:id="130" w:name="_Toc488669514"/>
      <w:r w:rsidRPr="000C35A2">
        <w:t xml:space="preserve">Lifetime </w:t>
      </w:r>
      <w:r w:rsidR="00C462FD">
        <w:t>h</w:t>
      </w:r>
      <w:r w:rsidRPr="000C35A2">
        <w:t>omes</w:t>
      </w:r>
      <w:bookmarkEnd w:id="128"/>
      <w:bookmarkEnd w:id="129"/>
      <w:bookmarkEnd w:id="130"/>
      <w:r w:rsidRPr="000C35A2">
        <w:t xml:space="preserve"> </w:t>
      </w:r>
    </w:p>
    <w:p w:rsidR="0021554C" w:rsidRPr="002B4E1A" w:rsidRDefault="0021554C" w:rsidP="0021554C">
      <w:pPr>
        <w:pStyle w:val="ListNumber"/>
        <w:ind w:left="708"/>
      </w:pPr>
      <w:r w:rsidRPr="002B4E1A">
        <w:t>Many local authorities incorporate policy into their Local Plans that a proportion of new homes should be built according to ‘lifetime homes’ principles; these are ordinary homes incorporating a number of design criteria that can be universally applied to new homes at minimal cost, for example parking that makes getting in and out of the car as simple and convenient as possible and ensuring movement in hallways and through doorways should be as convenient to the widest range of people, including those using mobility aids or wheelchairs, and those moving furniture or other objects.</w:t>
      </w:r>
      <w:r w:rsidRPr="002B4E1A">
        <w:rPr>
          <w:rFonts w:eastAsia="Calibri"/>
          <w:vertAlign w:val="superscript"/>
        </w:rPr>
        <w:footnoteReference w:id="32"/>
      </w:r>
    </w:p>
    <w:p w:rsidR="0021554C" w:rsidRPr="000C35A2" w:rsidRDefault="0021554C" w:rsidP="0021554C">
      <w:pPr>
        <w:pStyle w:val="Heading3"/>
        <w:rPr>
          <w:rFonts w:eastAsia="Times New Roman"/>
        </w:rPr>
      </w:pPr>
      <w:bookmarkStart w:id="131" w:name="_Toc486850640"/>
      <w:r>
        <w:rPr>
          <w:rFonts w:eastAsia="Times New Roman"/>
        </w:rPr>
        <w:t xml:space="preserve"> </w:t>
      </w:r>
      <w:r>
        <w:rPr>
          <w:rFonts w:eastAsia="Times New Roman"/>
        </w:rPr>
        <w:tab/>
      </w:r>
      <w:bookmarkStart w:id="132" w:name="_Toc488669515"/>
      <w:r w:rsidRPr="000C35A2">
        <w:rPr>
          <w:rFonts w:eastAsia="Times New Roman"/>
        </w:rPr>
        <w:t>Right-sizing</w:t>
      </w:r>
      <w:bookmarkEnd w:id="131"/>
      <w:bookmarkEnd w:id="132"/>
    </w:p>
    <w:p w:rsidR="0021554C" w:rsidRPr="002B4E1A" w:rsidRDefault="0021554C" w:rsidP="0021554C">
      <w:pPr>
        <w:pStyle w:val="ListNumber"/>
        <w:ind w:left="708"/>
      </w:pPr>
      <w:r w:rsidRPr="002B4E1A">
        <w:t xml:space="preserve">As we have identified earlier, there is a need for a greater number of the type of dwellings that facilitate ‘right-sizing’ for older people. It is important to note, this does not necessarily imply moving to a smaller home. Many older people have the wealth (and the choice that comes with it) to create a home suited to having visitors and accommodating care staff, who may need to make over-night stays.  </w:t>
      </w:r>
    </w:p>
    <w:p w:rsidR="0021554C" w:rsidRPr="002B4E1A" w:rsidRDefault="0021554C" w:rsidP="0021554C">
      <w:pPr>
        <w:pStyle w:val="ListNumber"/>
        <w:ind w:left="708"/>
      </w:pPr>
      <w:r w:rsidRPr="002B4E1A">
        <w:t>For this reason, it is important to recognise that different ages have different needs, thus in the provision of housing, choice is critical, catering for those with relatively modest requirements, to those who are more dependent on help. The provision of choice that responds to need is part of creating a smoothly operating local housing market in which older people are able move out of family homes when they wish, thus freeing up these properties for others.</w:t>
      </w:r>
      <w:r w:rsidRPr="002B4E1A">
        <w:rPr>
          <w:rFonts w:eastAsia="Calibri"/>
          <w:vertAlign w:val="superscript"/>
        </w:rPr>
        <w:footnoteReference w:id="33"/>
      </w:r>
      <w:r w:rsidRPr="002B4E1A">
        <w:t xml:space="preserve"> </w:t>
      </w:r>
    </w:p>
    <w:p w:rsidR="0021554C" w:rsidRPr="000C35A2" w:rsidRDefault="0021554C" w:rsidP="0021554C">
      <w:pPr>
        <w:pStyle w:val="Heading3"/>
      </w:pPr>
      <w:bookmarkStart w:id="133" w:name="_Toc482786326"/>
      <w:bookmarkStart w:id="134" w:name="_Toc486850641"/>
      <w:r>
        <w:t xml:space="preserve"> </w:t>
      </w:r>
      <w:r>
        <w:tab/>
      </w:r>
      <w:bookmarkStart w:id="135" w:name="_Toc488669516"/>
      <w:r>
        <w:t>P</w:t>
      </w:r>
      <w:r w:rsidRPr="000C35A2">
        <w:t>lanning flexibility</w:t>
      </w:r>
      <w:bookmarkEnd w:id="133"/>
      <w:bookmarkEnd w:id="134"/>
      <w:bookmarkEnd w:id="135"/>
    </w:p>
    <w:p w:rsidR="0021554C" w:rsidRPr="002B4E1A" w:rsidRDefault="0021554C" w:rsidP="0021554C">
      <w:pPr>
        <w:pStyle w:val="ListNumber"/>
        <w:ind w:left="708"/>
      </w:pPr>
      <w:r w:rsidRPr="002B4E1A">
        <w:t>Planning policy can be mobili</w:t>
      </w:r>
      <w:r w:rsidR="00C462FD">
        <w:t>s</w:t>
      </w:r>
      <w:r w:rsidRPr="002B4E1A">
        <w:t>ed to help properties to become more adaptable in the context of an increasingly elderly population. This includes allowing the conversion of conventional dwellings or groups of dwellings (for example terraced housing) into multiple homes, particularly where additional features are included to address ‘lifetime homes’ criteria and to encourage interaction with the wider community. This can incorporate bigger community open space as a result of joining up different gardens.</w:t>
      </w:r>
      <w:r w:rsidRPr="002B4E1A">
        <w:rPr>
          <w:rFonts w:eastAsia="Calibri"/>
          <w:vertAlign w:val="superscript"/>
        </w:rPr>
        <w:footnoteReference w:id="34"/>
      </w:r>
      <w:r w:rsidRPr="002B4E1A">
        <w:t xml:space="preserve"> This is not dissimilar to the practice of ‘alley-gating’ where alleyways between the backs of terraced housing have been gated off, and turned into shared community spaces. </w:t>
      </w:r>
    </w:p>
    <w:p w:rsidR="0021554C" w:rsidRPr="000C35A2" w:rsidRDefault="0021554C" w:rsidP="0021554C">
      <w:pPr>
        <w:pStyle w:val="Heading3"/>
      </w:pPr>
      <w:bookmarkStart w:id="136" w:name="_Toc482786327"/>
      <w:bookmarkStart w:id="137" w:name="_Toc486850642"/>
      <w:r>
        <w:t xml:space="preserve"> </w:t>
      </w:r>
      <w:r>
        <w:tab/>
      </w:r>
      <w:bookmarkStart w:id="138" w:name="_Toc488669517"/>
      <w:r w:rsidRPr="000C35A2">
        <w:t>Lifetime neighbourhoods</w:t>
      </w:r>
      <w:bookmarkEnd w:id="136"/>
      <w:bookmarkEnd w:id="137"/>
      <w:bookmarkEnd w:id="138"/>
    </w:p>
    <w:p w:rsidR="0021554C" w:rsidRPr="002B4E1A" w:rsidRDefault="0021554C" w:rsidP="0021554C">
      <w:pPr>
        <w:pStyle w:val="ListNumber"/>
        <w:ind w:left="708"/>
      </w:pPr>
      <w:r w:rsidRPr="002B4E1A">
        <w:t xml:space="preserve">Creating an environment in which older people feel both welcome and comfortable does not end at the front door. Research exists that considers life-time neighbourhoods, in which the public realm is designed to address the needs of older people, and activates the benefits they can bring in supporting local businesses and encouraging improved public realm for everyone, for example providing more greenery and more walkable, better connected places. </w:t>
      </w:r>
    </w:p>
    <w:p w:rsidR="0021554C" w:rsidRPr="002B4E1A" w:rsidRDefault="0021554C" w:rsidP="0021554C">
      <w:pPr>
        <w:pStyle w:val="ListNumber"/>
        <w:ind w:left="708"/>
      </w:pPr>
      <w:r w:rsidRPr="002B4E1A">
        <w:t>Given the expanded role of neighbourhood planning around design outlined in the Housing White Paper of 2017</w:t>
      </w:r>
      <w:r w:rsidRPr="002B4E1A">
        <w:rPr>
          <w:rStyle w:val="FootnoteReference"/>
          <w:rFonts w:ascii="Arial" w:eastAsia="Times New Roman" w:hAnsi="Arial" w:cs="Arial"/>
          <w:bCs/>
          <w:iCs/>
          <w:kern w:val="0"/>
        </w:rPr>
        <w:footnoteReference w:id="35"/>
      </w:r>
      <w:r w:rsidRPr="002B4E1A">
        <w:t xml:space="preserve">, a compelling notion is that of ‘the amplification of impact of micro-environmental features’ to describe that particular way in which we become more sensitive to the ordinary, smallest features of urban space as we age. This places a particular emphasis on care and reflection in how we design, for example paths and public seating; this, in turn, calls for the participation of older people in the process of design. </w:t>
      </w:r>
    </w:p>
    <w:p w:rsidR="0021554C" w:rsidRPr="002B4E1A" w:rsidRDefault="0021554C" w:rsidP="0021554C">
      <w:pPr>
        <w:pStyle w:val="ListNumber"/>
        <w:ind w:left="708"/>
      </w:pPr>
      <w:r w:rsidRPr="002B4E1A">
        <w:lastRenderedPageBreak/>
        <w:t xml:space="preserve">Design approaches exist that provide a starting point for locally informed policy development in this area, these include Manchester’s </w:t>
      </w:r>
      <w:r w:rsidRPr="002B4E1A">
        <w:rPr>
          <w:u w:val="single"/>
        </w:rPr>
        <w:t>Design for Access 2</w:t>
      </w:r>
      <w:r w:rsidRPr="002B4E1A">
        <w:t xml:space="preserve"> and the work of Inclusive Design for Getting Outdoors (IDGO); IDGO have identified material features that make everyday negotiation of urban space that much easier for older people; these include wide and flat tarmac footways, easy transition level changes, clear, simple and visible signage, frequent warm and supportive seating and well-maintained, safe and open toilets.</w:t>
      </w:r>
      <w:r w:rsidRPr="002B4E1A">
        <w:rPr>
          <w:rStyle w:val="FootnoteReference"/>
          <w:rFonts w:ascii="Arial" w:eastAsia="Times New Roman" w:hAnsi="Arial" w:cs="Arial"/>
          <w:bCs/>
          <w:iCs/>
          <w:kern w:val="0"/>
        </w:rPr>
        <w:footnoteReference w:id="36"/>
      </w:r>
      <w:r w:rsidRPr="002B4E1A">
        <w:t xml:space="preserve"> </w:t>
      </w:r>
    </w:p>
    <w:p w:rsidR="0021554C" w:rsidRPr="002B4E1A" w:rsidRDefault="0021554C" w:rsidP="0021554C">
      <w:pPr>
        <w:pStyle w:val="ListNumber"/>
        <w:ind w:left="708"/>
      </w:pPr>
      <w:r w:rsidRPr="002B4E1A">
        <w:t xml:space="preserve">In addition, the notion of ‘pensioner play-grounds,’ ‘green-gyms,’ community gardens and various forms of guerrilla gardening (for example the Edible </w:t>
      </w:r>
      <w:proofErr w:type="spellStart"/>
      <w:r w:rsidRPr="002B4E1A">
        <w:t>Todmorden</w:t>
      </w:r>
      <w:proofErr w:type="spellEnd"/>
      <w:r w:rsidRPr="002B4E1A">
        <w:t xml:space="preserve"> project) encourage active use of public space and facilities on the part of an older demographic. </w:t>
      </w:r>
    </w:p>
    <w:p w:rsidR="0021554C" w:rsidRPr="000C35A2" w:rsidRDefault="0021554C" w:rsidP="0021554C">
      <w:pPr>
        <w:pStyle w:val="Heading3"/>
        <w:rPr>
          <w:rFonts w:eastAsia="Times New Roman"/>
        </w:rPr>
      </w:pPr>
      <w:bookmarkStart w:id="139" w:name="_Toc486850643"/>
      <w:r>
        <w:rPr>
          <w:rFonts w:eastAsia="Times New Roman"/>
        </w:rPr>
        <w:t xml:space="preserve"> </w:t>
      </w:r>
      <w:r>
        <w:rPr>
          <w:rFonts w:eastAsia="Times New Roman"/>
        </w:rPr>
        <w:tab/>
      </w:r>
      <w:bookmarkStart w:id="140" w:name="_Toc488669518"/>
      <w:r w:rsidRPr="000C35A2">
        <w:rPr>
          <w:rFonts w:eastAsia="Times New Roman"/>
        </w:rPr>
        <w:t>Age-friendliness</w:t>
      </w:r>
      <w:bookmarkEnd w:id="139"/>
      <w:bookmarkEnd w:id="140"/>
    </w:p>
    <w:p w:rsidR="0021554C" w:rsidRDefault="0021554C" w:rsidP="0021554C">
      <w:pPr>
        <w:pStyle w:val="ListNumber"/>
        <w:ind w:left="708"/>
      </w:pPr>
      <w:r w:rsidRPr="002B4E1A">
        <w:t>Since the millennium policy at the international level has been directed towards a more holistic appreciation of what an ‘age-friendly’ urban environment looks like. It has been remarked this should extend beyond physical installations, such as public seating and access to WCs, but embrace means mobilising civic agency among older group to forestall incipient marginalisation, enabling them to continue to make a full and active contribution to community life.</w:t>
      </w:r>
      <w:r w:rsidRPr="002B4E1A">
        <w:rPr>
          <w:rStyle w:val="FootnoteReference"/>
          <w:rFonts w:ascii="Arial" w:eastAsia="Times New Roman" w:hAnsi="Arial" w:cs="Arial"/>
          <w:bCs/>
          <w:iCs/>
          <w:kern w:val="0"/>
        </w:rPr>
        <w:footnoteReference w:id="37"/>
      </w:r>
      <w:r w:rsidRPr="002B4E1A">
        <w:t xml:space="preserve"> </w:t>
      </w:r>
    </w:p>
    <w:p w:rsidR="0021554C" w:rsidRPr="00BB1FAF" w:rsidRDefault="0021554C" w:rsidP="0021554C">
      <w:pPr>
        <w:pStyle w:val="ListNumber"/>
        <w:ind w:left="708"/>
      </w:pPr>
      <w:r w:rsidRPr="00BB1FAF">
        <w:rPr>
          <w:rFonts w:ascii="Arial" w:eastAsia="Times New Roman" w:hAnsi="Arial" w:cs="Arial"/>
          <w:bCs/>
          <w:iCs/>
          <w:kern w:val="0"/>
        </w:rPr>
        <w:t xml:space="preserve">In 2006 the World Health Organisation (WHO) began developing the ‘Age-Friendly Cities’ movement, now a worldwide network of over 200 member cities around the world. They have produced a guide that offers a way of analysing the city from the perspective of older people, using a framework of inter-related domains: transportation, housing, social participation, respect and social inclusion, communication and information, civic participation and employment, health and community services. </w:t>
      </w:r>
    </w:p>
    <w:p w:rsidR="0021554C" w:rsidRPr="00BB1FAF" w:rsidRDefault="0021554C" w:rsidP="0021554C">
      <w:pPr>
        <w:pStyle w:val="ListNumber"/>
        <w:ind w:left="708"/>
      </w:pPr>
      <w:r w:rsidRPr="00BB1FAF">
        <w:rPr>
          <w:rFonts w:ascii="Arial" w:eastAsia="Times New Roman" w:hAnsi="Arial" w:cs="Arial"/>
          <w:bCs/>
          <w:iCs/>
          <w:kern w:val="0"/>
        </w:rPr>
        <w:t>Considering the housing domain, the WHO study identifies a check list of attributes necessary to foster a sense of belonging and well-being among older people. In addition to affordability and designing accommodation with the needs of older people in mind, the adaptability of dwellings is important, for example their capacity to accommodate chair-lifts that enable older people to continue to live in two-storey homes</w:t>
      </w:r>
      <w:r w:rsidRPr="002B4E1A">
        <w:rPr>
          <w:rStyle w:val="FootnoteReference"/>
          <w:rFonts w:ascii="Arial" w:eastAsia="Times New Roman" w:hAnsi="Arial" w:cs="Arial"/>
          <w:bCs/>
          <w:iCs/>
          <w:kern w:val="0"/>
        </w:rPr>
        <w:footnoteReference w:id="38"/>
      </w:r>
      <w:r w:rsidRPr="00BB1FAF">
        <w:rPr>
          <w:rFonts w:ascii="Arial" w:eastAsia="Times New Roman" w:hAnsi="Arial" w:cs="Arial"/>
          <w:bCs/>
          <w:iCs/>
          <w:kern w:val="0"/>
        </w:rPr>
        <w:t xml:space="preserve">. </w:t>
      </w:r>
    </w:p>
    <w:p w:rsidR="0021554C" w:rsidRPr="00BB1FAF" w:rsidRDefault="0021554C" w:rsidP="0021554C">
      <w:pPr>
        <w:pStyle w:val="ListNumber"/>
        <w:ind w:left="708"/>
      </w:pPr>
      <w:r w:rsidRPr="00BB1FAF">
        <w:rPr>
          <w:rFonts w:ascii="Arial" w:eastAsia="Times New Roman" w:hAnsi="Arial" w:cs="Arial"/>
          <w:bCs/>
          <w:iCs/>
          <w:kern w:val="0"/>
        </w:rPr>
        <w:t>The WHO also identified access to services, particularly those that become increasingly important as people get older, such as places of worship and community centres.</w:t>
      </w:r>
      <w:r w:rsidRPr="002B4E1A">
        <w:rPr>
          <w:rStyle w:val="FootnoteReference"/>
          <w:rFonts w:ascii="Arial" w:eastAsia="Times New Roman" w:hAnsi="Arial" w:cs="Arial"/>
          <w:bCs/>
          <w:iCs/>
          <w:kern w:val="0"/>
        </w:rPr>
        <w:footnoteReference w:id="39"/>
      </w:r>
      <w:r w:rsidRPr="00BB1FAF">
        <w:rPr>
          <w:rFonts w:ascii="Arial" w:eastAsia="Times New Roman" w:hAnsi="Arial" w:cs="Arial"/>
          <w:bCs/>
          <w:iCs/>
          <w:kern w:val="0"/>
        </w:rPr>
        <w:t xml:space="preserve"> Moreover, optimising well-being has much to do with being able to maintain links with existing networks, which is best achieved by enabling people to remain in their existing communities for as long as possible. In the Australian city of Melville small clusters of senior's housing with small gardens are made available throughout the city, so that older people are not isolated from the community and particularly from children.</w:t>
      </w:r>
      <w:r w:rsidRPr="002B4E1A">
        <w:rPr>
          <w:rStyle w:val="FootnoteReference"/>
          <w:rFonts w:ascii="Arial" w:eastAsia="Times New Roman" w:hAnsi="Arial" w:cs="Arial"/>
          <w:bCs/>
          <w:iCs/>
          <w:kern w:val="0"/>
        </w:rPr>
        <w:footnoteReference w:id="40"/>
      </w:r>
    </w:p>
    <w:p w:rsidR="0021554C" w:rsidRPr="000C35A2" w:rsidRDefault="0021554C" w:rsidP="0021554C">
      <w:pPr>
        <w:pStyle w:val="Heading3"/>
        <w:rPr>
          <w:rFonts w:eastAsia="Times New Roman"/>
        </w:rPr>
      </w:pPr>
      <w:bookmarkStart w:id="141" w:name="_Toc486850644"/>
      <w:bookmarkStart w:id="142" w:name="_Toc488669519"/>
      <w:r w:rsidRPr="000C35A2">
        <w:rPr>
          <w:rFonts w:eastAsia="Times New Roman"/>
        </w:rPr>
        <w:t xml:space="preserve">Housing for people with </w:t>
      </w:r>
      <w:r w:rsidR="00C462FD">
        <w:rPr>
          <w:rFonts w:eastAsia="Times New Roman"/>
        </w:rPr>
        <w:t>d</w:t>
      </w:r>
      <w:r w:rsidRPr="000C35A2">
        <w:rPr>
          <w:rFonts w:eastAsia="Times New Roman"/>
        </w:rPr>
        <w:t>ementia</w:t>
      </w:r>
      <w:bookmarkEnd w:id="141"/>
      <w:bookmarkEnd w:id="142"/>
    </w:p>
    <w:p w:rsidR="0021554C" w:rsidRPr="002B4E1A" w:rsidRDefault="0021554C" w:rsidP="0021554C">
      <w:pPr>
        <w:pStyle w:val="ListNumber"/>
        <w:ind w:left="708"/>
      </w:pPr>
      <w:r w:rsidRPr="002B4E1A">
        <w:t>Enabling people with dementia to live in their own homes for longer is critical to their quality of life as a result of the familiarity of surroundings and the help with retaining memories this facilitates</w:t>
      </w:r>
      <w:r w:rsidRPr="002B4E1A">
        <w:rPr>
          <w:rStyle w:val="FootnoteReference"/>
          <w:rFonts w:ascii="Arial" w:eastAsia="Times New Roman" w:hAnsi="Arial" w:cs="Arial"/>
          <w:bCs/>
          <w:iCs/>
          <w:kern w:val="0"/>
        </w:rPr>
        <w:footnoteReference w:id="41"/>
      </w:r>
      <w:r w:rsidRPr="002B4E1A">
        <w:t xml:space="preserve">. The challenge with this is two-fold; firstly the lack of appropriate adaptations in properties and, secondly, the support required to ensure a home is safe and suitable. </w:t>
      </w:r>
    </w:p>
    <w:p w:rsidR="0021554C" w:rsidRPr="002B4E1A" w:rsidRDefault="0021554C" w:rsidP="0021554C">
      <w:pPr>
        <w:pStyle w:val="ListNumber"/>
        <w:ind w:left="708"/>
      </w:pPr>
      <w:r w:rsidRPr="002B4E1A">
        <w:t xml:space="preserve">Selwood Housing in the South West has pioneered approaches that help overcome these, for example the </w:t>
      </w:r>
      <w:proofErr w:type="gramStart"/>
      <w:r w:rsidRPr="002B4E1A">
        <w:t>installation of property exit sensors to inform a monitoring centre</w:t>
      </w:r>
      <w:proofErr w:type="gramEnd"/>
      <w:r w:rsidRPr="002B4E1A">
        <w:t xml:space="preserve"> when tenants leave their home and then not return within a pre-determined time. </w:t>
      </w:r>
    </w:p>
    <w:p w:rsidR="0021554C" w:rsidRPr="002B4E1A" w:rsidRDefault="0021554C" w:rsidP="0021554C">
      <w:pPr>
        <w:pStyle w:val="ListNumber"/>
        <w:ind w:left="708"/>
      </w:pPr>
      <w:r>
        <w:t>In figure 14</w:t>
      </w:r>
      <w:r w:rsidRPr="002B4E1A">
        <w:t xml:space="preserve"> below we reproduce a chart showing the impact that early and appropriate intervention can have on the prospect of people with dementia remaining in their own home for longer. </w:t>
      </w:r>
    </w:p>
    <w:p w:rsidR="0021554C" w:rsidRDefault="0021554C" w:rsidP="0021554C">
      <w:pPr>
        <w:pStyle w:val="Caption"/>
      </w:pPr>
      <w:bookmarkStart w:id="143" w:name="_Toc487535046"/>
      <w:bookmarkStart w:id="144" w:name="_Toc488669548"/>
      <w:r>
        <w:lastRenderedPageBreak/>
        <w:t xml:space="preserve">Figure </w:t>
      </w:r>
      <w:fldSimple w:instr=" SEQ Figure \* ARABIC ">
        <w:r w:rsidR="00A258B5">
          <w:rPr>
            <w:noProof/>
          </w:rPr>
          <w:t>7</w:t>
        </w:r>
      </w:fldSimple>
      <w:r>
        <w:t xml:space="preserve">: </w:t>
      </w:r>
      <w:r w:rsidRPr="00A400D6">
        <w:t>Dementia care chart</w:t>
      </w:r>
      <w:bookmarkEnd w:id="143"/>
      <w:bookmarkEnd w:id="144"/>
    </w:p>
    <w:p w:rsidR="0021554C" w:rsidRPr="000C35A2" w:rsidRDefault="0021554C" w:rsidP="0021554C">
      <w:pPr>
        <w:pStyle w:val="BodyText"/>
        <w:spacing w:after="0" w:line="276" w:lineRule="auto"/>
        <w:rPr>
          <w:rFonts w:asciiTheme="majorHAnsi" w:hAnsiTheme="majorHAnsi"/>
          <w:b/>
          <w:bCs/>
          <w:color w:val="00B5E2" w:themeColor="accent1"/>
          <w:sz w:val="20"/>
        </w:rPr>
      </w:pPr>
      <w:r w:rsidRPr="000C35A2">
        <w:rPr>
          <w:rFonts w:asciiTheme="majorHAnsi" w:hAnsiTheme="majorHAnsi"/>
          <w:b/>
          <w:bCs/>
          <w:noProof/>
          <w:color w:val="00B5E2" w:themeColor="accent1"/>
          <w:sz w:val="20"/>
          <w:lang w:eastAsia="en-GB"/>
        </w:rPr>
        <w:drawing>
          <wp:inline distT="0" distB="0" distL="0" distR="0" wp14:anchorId="285A3F6E" wp14:editId="29402399">
            <wp:extent cx="4115388" cy="2515922"/>
            <wp:effectExtent l="0" t="0" r="0" b="0"/>
            <wp:docPr id="315" name="Picture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mentia.PNG"/>
                    <pic:cNvPicPr/>
                  </pic:nvPicPr>
                  <pic:blipFill>
                    <a:blip r:embed="rId26">
                      <a:extLst>
                        <a:ext uri="{28A0092B-C50C-407E-A947-70E740481C1C}">
                          <a14:useLocalDpi xmlns:a14="http://schemas.microsoft.com/office/drawing/2010/main" val="0"/>
                        </a:ext>
                      </a:extLst>
                    </a:blip>
                    <a:stretch>
                      <a:fillRect/>
                    </a:stretch>
                  </pic:blipFill>
                  <pic:spPr>
                    <a:xfrm>
                      <a:off x="0" y="0"/>
                      <a:ext cx="4118153" cy="2517613"/>
                    </a:xfrm>
                    <a:prstGeom prst="rect">
                      <a:avLst/>
                    </a:prstGeom>
                  </pic:spPr>
                </pic:pic>
              </a:graphicData>
            </a:graphic>
          </wp:inline>
        </w:drawing>
      </w:r>
      <w:r w:rsidRPr="000C35A2">
        <w:rPr>
          <w:rFonts w:asciiTheme="majorHAnsi" w:hAnsiTheme="majorHAnsi"/>
          <w:b/>
          <w:bCs/>
          <w:color w:val="00B5E2" w:themeColor="accent1"/>
          <w:sz w:val="20"/>
        </w:rPr>
        <w:t xml:space="preserve"> </w:t>
      </w:r>
    </w:p>
    <w:p w:rsidR="0021554C" w:rsidRPr="000C35A2" w:rsidRDefault="0021554C" w:rsidP="0021554C">
      <w:pPr>
        <w:pStyle w:val="BodyText"/>
        <w:spacing w:after="0" w:line="276" w:lineRule="auto"/>
        <w:rPr>
          <w:rFonts w:asciiTheme="majorHAnsi" w:hAnsiTheme="majorHAnsi"/>
          <w:b/>
          <w:bCs/>
          <w:color w:val="00B5E2" w:themeColor="accent1"/>
          <w:sz w:val="20"/>
        </w:rPr>
      </w:pPr>
      <w:r w:rsidRPr="000C35A2">
        <w:rPr>
          <w:rFonts w:asciiTheme="majorHAnsi" w:hAnsiTheme="majorHAnsi"/>
          <w:b/>
          <w:bCs/>
          <w:color w:val="00B5E2" w:themeColor="accent1"/>
          <w:sz w:val="20"/>
        </w:rPr>
        <w:t xml:space="preserve">Source: Dementia Services Development Centre, 2013 </w:t>
      </w:r>
    </w:p>
    <w:p w:rsidR="0021554C" w:rsidRPr="000C35A2" w:rsidRDefault="0021554C" w:rsidP="0021554C">
      <w:pPr>
        <w:pStyle w:val="Heading3"/>
      </w:pPr>
      <w:bookmarkStart w:id="145" w:name="_Toc482786328"/>
      <w:bookmarkStart w:id="146" w:name="_Toc486850645"/>
      <w:bookmarkStart w:id="147" w:name="_Toc488669520"/>
      <w:r w:rsidRPr="000C35A2">
        <w:t>The role of the Local Authority</w:t>
      </w:r>
      <w:bookmarkEnd w:id="145"/>
      <w:bookmarkEnd w:id="146"/>
      <w:bookmarkEnd w:id="147"/>
    </w:p>
    <w:p w:rsidR="0021554C" w:rsidRPr="007552D4" w:rsidRDefault="0021554C" w:rsidP="0021554C">
      <w:pPr>
        <w:pStyle w:val="ListNumber"/>
        <w:ind w:left="708"/>
      </w:pPr>
      <w:r w:rsidRPr="002B4E1A">
        <w:t>As suggested above, it is appropriate for the neighbourhood group to work closely with the LPA to develop policy and approaches to addressing the need for housing for elderly people in the area. The LPA is under an obligation through national policy to address the needs of older people,</w:t>
      </w:r>
      <w:r w:rsidRPr="002B4E1A">
        <w:rPr>
          <w:rFonts w:eastAsia="Calibri"/>
          <w:vertAlign w:val="superscript"/>
        </w:rPr>
        <w:footnoteReference w:id="42"/>
      </w:r>
      <w:r w:rsidRPr="002B4E1A">
        <w:t xml:space="preserve"> it is therefore appropriate they should play the strategic role in co-ordinating new efforts by housing providers, adult care services, primary care and health trusts, private and third sector organisations to meet the housing needs of older people across the </w:t>
      </w:r>
      <w:r w:rsidR="005F5CF8">
        <w:t>District</w:t>
      </w:r>
      <w:r w:rsidRPr="002B4E1A">
        <w:t xml:space="preserve">.  </w:t>
      </w:r>
    </w:p>
    <w:p w:rsidR="0021554C" w:rsidRPr="0028000E" w:rsidRDefault="0021554C" w:rsidP="00B90B1C">
      <w:pPr>
        <w:pStyle w:val="BodyText"/>
        <w:rPr>
          <w:b/>
          <w:bCs/>
          <w:iCs/>
          <w:lang w:val="en-US"/>
        </w:rPr>
      </w:pPr>
    </w:p>
    <w:bookmarkEnd w:id="83"/>
    <w:p w:rsidR="00A258B5" w:rsidRDefault="00A258B5">
      <w:pPr>
        <w:tabs>
          <w:tab w:val="clear" w:pos="284"/>
        </w:tabs>
        <w:spacing w:line="240" w:lineRule="auto"/>
        <w:rPr>
          <w:rFonts w:asciiTheme="majorHAnsi" w:eastAsiaTheme="majorEastAsia" w:hAnsiTheme="majorHAnsi" w:cstheme="majorBidi"/>
          <w:b/>
          <w:bCs/>
          <w:color w:val="00B5E2" w:themeColor="accent1"/>
          <w:sz w:val="30"/>
          <w:szCs w:val="28"/>
          <w:lang w:val="en-US"/>
        </w:rPr>
      </w:pPr>
      <w:r>
        <w:rPr>
          <w:lang w:val="en-US"/>
        </w:rPr>
        <w:br w:type="page"/>
      </w:r>
    </w:p>
    <w:p w:rsidR="004B4774" w:rsidRPr="00A258B5" w:rsidRDefault="00E80CC8" w:rsidP="00A258B5">
      <w:pPr>
        <w:pStyle w:val="Heading1"/>
        <w:rPr>
          <w:lang w:val="en-US"/>
        </w:rPr>
      </w:pPr>
      <w:bookmarkStart w:id="148" w:name="_Toc504464747"/>
      <w:r w:rsidRPr="00B90B1C">
        <w:rPr>
          <w:lang w:val="en-US"/>
        </w:rPr>
        <w:lastRenderedPageBreak/>
        <w:t xml:space="preserve">Market </w:t>
      </w:r>
      <w:r w:rsidR="00C462FD">
        <w:rPr>
          <w:lang w:val="en-US"/>
        </w:rPr>
        <w:t>s</w:t>
      </w:r>
      <w:r w:rsidRPr="00B90B1C">
        <w:rPr>
          <w:lang w:val="en-US"/>
        </w:rPr>
        <w:t>ignals</w:t>
      </w:r>
      <w:bookmarkEnd w:id="148"/>
      <w:r w:rsidRPr="00B90B1C">
        <w:rPr>
          <w:lang w:val="en-US"/>
        </w:rPr>
        <w:t xml:space="preserve"> </w:t>
      </w:r>
    </w:p>
    <w:p w:rsidR="004B4774" w:rsidRPr="00B90B1C" w:rsidRDefault="004B4774" w:rsidP="004B4774">
      <w:pPr>
        <w:pStyle w:val="ListNumber"/>
        <w:rPr>
          <w:lang w:val="en-US"/>
        </w:rPr>
      </w:pPr>
      <w:r w:rsidRPr="00B90B1C">
        <w:rPr>
          <w:lang w:val="en-US"/>
        </w:rPr>
        <w:t>The PPG highlights the importance of taking market signals into account when assessing housing need, given they provide an indication of the balance between demand and supply. This is particularly important to consider given the significant and well-documented changes in the housing market over recent years, which were exacerbated by the economic downturn and subsequent issues in obtaining mortgage finance.</w:t>
      </w:r>
    </w:p>
    <w:p w:rsidR="004B4774" w:rsidRDefault="004B4774" w:rsidP="004B4774">
      <w:pPr>
        <w:pStyle w:val="ListNumber"/>
        <w:rPr>
          <w:lang w:val="en-US"/>
        </w:rPr>
      </w:pPr>
      <w:r w:rsidRPr="00B90B1C">
        <w:rPr>
          <w:lang w:val="en-US"/>
        </w:rPr>
        <w:t xml:space="preserve">The PPG states: </w:t>
      </w:r>
    </w:p>
    <w:p w:rsidR="004B4774" w:rsidRPr="00B90B1C" w:rsidRDefault="004B4774" w:rsidP="004B4774">
      <w:pPr>
        <w:pStyle w:val="Quote"/>
        <w:rPr>
          <w:lang w:val="en-US"/>
        </w:rPr>
      </w:pPr>
      <w:r w:rsidRPr="00B90B1C">
        <w:rPr>
          <w:lang w:val="en-US"/>
        </w:rPr>
        <w:t>The housing need number suggested by household projections (the starting point) should be adjusted to reflect appropriate market signals, as well as other market indicators of the balance between the demand for and supply of dwellings. Prices rising faster than the national/local average may well indicate particular market undersupply relative to demand.</w:t>
      </w:r>
      <w:r w:rsidRPr="00B90B1C">
        <w:rPr>
          <w:vertAlign w:val="superscript"/>
          <w:lang w:val="en-US"/>
        </w:rPr>
        <w:footnoteReference w:id="43"/>
      </w:r>
    </w:p>
    <w:p w:rsidR="004B4774" w:rsidRPr="00B90B1C" w:rsidRDefault="004B4774" w:rsidP="004B4774">
      <w:pPr>
        <w:pStyle w:val="ListNumber"/>
        <w:rPr>
          <w:lang w:val="en-US"/>
        </w:rPr>
      </w:pPr>
      <w:r w:rsidRPr="00B90B1C">
        <w:rPr>
          <w:lang w:val="en-US"/>
        </w:rPr>
        <w:t xml:space="preserve">These market signals relate to trends discernable within the housing market, and broader economic trends that have an impact on the housing market. </w:t>
      </w:r>
    </w:p>
    <w:p w:rsidR="004B4774" w:rsidRPr="00B90B1C" w:rsidRDefault="004B4774" w:rsidP="004B4774">
      <w:pPr>
        <w:pStyle w:val="ListNumber"/>
        <w:rPr>
          <w:lang w:val="en-US"/>
        </w:rPr>
      </w:pPr>
      <w:r w:rsidRPr="00B90B1C">
        <w:rPr>
          <w:lang w:val="en-US"/>
        </w:rPr>
        <w:t>The PPG goes on to assert that where there is evidence of an imbalance in supply and demand, an uplift in planned housing numbers – compared to those derived solely from household projections – is required in order to increase the supply of housing to meet demand and tackle affordability issues:</w:t>
      </w:r>
    </w:p>
    <w:p w:rsidR="004B4774" w:rsidRPr="00B90B1C" w:rsidRDefault="004B4774" w:rsidP="004B4774">
      <w:pPr>
        <w:pStyle w:val="Quote"/>
        <w:rPr>
          <w:lang w:val="en-US"/>
        </w:rPr>
      </w:pPr>
      <w:r w:rsidRPr="00B90B1C">
        <w:rPr>
          <w:lang w:val="en-US"/>
        </w:rPr>
        <w:t>This includes comparison with longer term trends (both in absolute levels and rates of change) in the: housing market area; similar demographic and economic areas; and nationally. A worsening trend in any of these indicators will require upward adjustment to planned housing numbers compared to ones based solely on household projections.</w:t>
      </w:r>
    </w:p>
    <w:p w:rsidR="004B4774" w:rsidRDefault="004B4774" w:rsidP="004B4774">
      <w:pPr>
        <w:pStyle w:val="Quote"/>
        <w:rPr>
          <w:lang w:val="en-US"/>
        </w:rPr>
      </w:pPr>
      <w:r w:rsidRPr="00B90B1C">
        <w:rPr>
          <w:lang w:val="en-US"/>
        </w:rPr>
        <w:t>In areas where an upward adjustment is required, plan makers should set this adjustment at a level that is reasonable. The more significant the affordability constraints (as reflected in rising prices and rents, and worsening affordability ratio) and the stronger other indicators of high demand (</w:t>
      </w:r>
      <w:proofErr w:type="spellStart"/>
      <w:r w:rsidRPr="00B90B1C">
        <w:rPr>
          <w:lang w:val="en-US"/>
        </w:rPr>
        <w:t>eg</w:t>
      </w:r>
      <w:proofErr w:type="spellEnd"/>
      <w:r w:rsidRPr="00B90B1C">
        <w:rPr>
          <w:lang w:val="en-US"/>
        </w:rPr>
        <w:t xml:space="preserve"> the differential between land prices), the larger the improvement in affordability needed and, therefore, the larger the additional supply response should be.</w:t>
      </w:r>
      <w:r w:rsidRPr="00B90B1C">
        <w:rPr>
          <w:vertAlign w:val="superscript"/>
          <w:lang w:val="en-US"/>
        </w:rPr>
        <w:footnoteReference w:id="44"/>
      </w:r>
    </w:p>
    <w:p w:rsidR="004B4774" w:rsidRDefault="004B4774" w:rsidP="004B4774">
      <w:pPr>
        <w:pStyle w:val="ListNumber"/>
        <w:rPr>
          <w:lang w:val="en-US"/>
        </w:rPr>
      </w:pPr>
      <w:r>
        <w:rPr>
          <w:lang w:val="en-US"/>
        </w:rPr>
        <w:t>In discussions with WWPC and CDC as to the appropriate levels of market dwellings in the NPA it will necessary to consider factors that suggest either an uplift or reduction. This study considers the following market signals:</w:t>
      </w:r>
    </w:p>
    <w:p w:rsidR="004B4774" w:rsidRPr="001F66C1" w:rsidRDefault="004B4774" w:rsidP="004B4774">
      <w:pPr>
        <w:pStyle w:val="ListNumber"/>
        <w:numPr>
          <w:ilvl w:val="0"/>
          <w:numId w:val="25"/>
        </w:numPr>
        <w:rPr>
          <w:lang w:val="en-US"/>
        </w:rPr>
      </w:pPr>
      <w:bookmarkStart w:id="149" w:name="_Hlk487978557"/>
      <w:r w:rsidRPr="001F66C1">
        <w:rPr>
          <w:lang w:val="en-US"/>
        </w:rPr>
        <w:t>Employment trends;</w:t>
      </w:r>
    </w:p>
    <w:p w:rsidR="004B4774" w:rsidRPr="001F66C1" w:rsidRDefault="004B4774" w:rsidP="004B4774">
      <w:pPr>
        <w:pStyle w:val="ListNumber"/>
        <w:numPr>
          <w:ilvl w:val="0"/>
          <w:numId w:val="25"/>
        </w:numPr>
        <w:rPr>
          <w:lang w:val="en-US"/>
        </w:rPr>
      </w:pPr>
      <w:r w:rsidRPr="001F66C1">
        <w:rPr>
          <w:lang w:val="en-US"/>
        </w:rPr>
        <w:t>Housing Market (Prices);</w:t>
      </w:r>
    </w:p>
    <w:p w:rsidR="004B4774" w:rsidRPr="001F66C1" w:rsidRDefault="004B4774" w:rsidP="004B4774">
      <w:pPr>
        <w:pStyle w:val="ListNumber"/>
        <w:numPr>
          <w:ilvl w:val="0"/>
          <w:numId w:val="25"/>
        </w:numPr>
        <w:rPr>
          <w:lang w:val="en-US"/>
        </w:rPr>
      </w:pPr>
      <w:r w:rsidRPr="001F66C1">
        <w:rPr>
          <w:lang w:val="en-US"/>
        </w:rPr>
        <w:t>Housing Market (Volume);</w:t>
      </w:r>
    </w:p>
    <w:p w:rsidR="004B4774" w:rsidRPr="001F66C1" w:rsidRDefault="004B4774" w:rsidP="004B4774">
      <w:pPr>
        <w:pStyle w:val="ListNumber"/>
        <w:numPr>
          <w:ilvl w:val="0"/>
          <w:numId w:val="25"/>
        </w:numPr>
        <w:rPr>
          <w:lang w:val="en-US"/>
        </w:rPr>
      </w:pPr>
      <w:r w:rsidRPr="001F66C1">
        <w:rPr>
          <w:lang w:val="en-US"/>
        </w:rPr>
        <w:t>Migration;</w:t>
      </w:r>
    </w:p>
    <w:p w:rsidR="004B4774" w:rsidRPr="001F66C1" w:rsidRDefault="004B4774" w:rsidP="004B4774">
      <w:pPr>
        <w:pStyle w:val="ListNumber"/>
        <w:numPr>
          <w:ilvl w:val="0"/>
          <w:numId w:val="25"/>
        </w:numPr>
        <w:rPr>
          <w:lang w:val="en-US"/>
        </w:rPr>
      </w:pPr>
      <w:r w:rsidRPr="001F66C1">
        <w:rPr>
          <w:lang w:val="en-US"/>
        </w:rPr>
        <w:t>Overcrowding</w:t>
      </w:r>
      <w:r w:rsidRPr="001F66C1">
        <w:t xml:space="preserve"> </w:t>
      </w:r>
      <w:r w:rsidRPr="001F66C1">
        <w:rPr>
          <w:lang w:val="en-US"/>
        </w:rPr>
        <w:t>and concealed families; and</w:t>
      </w:r>
    </w:p>
    <w:p w:rsidR="004B4774" w:rsidRPr="001F66C1" w:rsidRDefault="004B4774" w:rsidP="004B4774">
      <w:pPr>
        <w:pStyle w:val="ListNumber"/>
        <w:numPr>
          <w:ilvl w:val="0"/>
          <w:numId w:val="25"/>
        </w:numPr>
        <w:rPr>
          <w:lang w:val="en-US"/>
        </w:rPr>
      </w:pPr>
      <w:r w:rsidRPr="001F66C1">
        <w:rPr>
          <w:lang w:val="en-US"/>
        </w:rPr>
        <w:t>Rate of Development (changes in housing stock).</w:t>
      </w:r>
    </w:p>
    <w:p w:rsidR="004B4774" w:rsidRDefault="004B4774" w:rsidP="004B4774">
      <w:pPr>
        <w:pStyle w:val="Heading2"/>
        <w:rPr>
          <w:lang w:val="en-US"/>
        </w:rPr>
      </w:pPr>
      <w:bookmarkStart w:id="150" w:name="_Toc495920030"/>
      <w:bookmarkStart w:id="151" w:name="_Toc504464748"/>
      <w:r>
        <w:rPr>
          <w:lang w:val="en-US"/>
        </w:rPr>
        <w:t>Employment and commuting trends</w:t>
      </w:r>
      <w:bookmarkEnd w:id="150"/>
      <w:bookmarkEnd w:id="151"/>
    </w:p>
    <w:p w:rsidR="004B4774" w:rsidRPr="00CE4FC1" w:rsidRDefault="004B4774" w:rsidP="004B4774">
      <w:pPr>
        <w:pStyle w:val="ListNumber"/>
        <w:rPr>
          <w:lang w:val="en-US"/>
        </w:rPr>
      </w:pPr>
      <w:r w:rsidRPr="00BF41E1">
        <w:t>Local employment trends can greatly influence housing needs as employment opportunities can stimulate demand in the plan area. It is therefore important to establish the employment sphere of influence experienced by the residents of the</w:t>
      </w:r>
      <w:r>
        <w:t xml:space="preserve"> West Wittering NPA.</w:t>
      </w:r>
    </w:p>
    <w:p w:rsidR="004B4774" w:rsidRPr="006A2469" w:rsidRDefault="004B4774" w:rsidP="004B4774">
      <w:pPr>
        <w:pStyle w:val="ListNumber"/>
        <w:rPr>
          <w:lang w:val="en-US"/>
        </w:rPr>
      </w:pPr>
      <w:r>
        <w:t xml:space="preserve">The Coast to Capital Economic Area is characterised by </w:t>
      </w:r>
      <w:r w:rsidRPr="004A4BFC">
        <w:t>a creative, digital and IT cluster centred on Brighton, a large financial and business services sector, an advanced manufa</w:t>
      </w:r>
      <w:r>
        <w:t xml:space="preserve">cturing and engineering sector as well as </w:t>
      </w:r>
      <w:r w:rsidRPr="004A4BFC">
        <w:t>a strong network of health and life science companies throughout the region.</w:t>
      </w:r>
      <w:r>
        <w:t xml:space="preserve"> The Coast to Capital Local Enterprise Partnership also identifies the presence of a number of global companies across a range of sectors, some with their own research capability as well as a few strong sectors in enabling and growth technologies (digital, electronics and medical)</w:t>
      </w:r>
      <w:r w:rsidR="00C462FD">
        <w:t>.</w:t>
      </w:r>
      <w:r>
        <w:rPr>
          <w:rStyle w:val="FootnoteReference"/>
        </w:rPr>
        <w:footnoteReference w:id="45"/>
      </w:r>
    </w:p>
    <w:p w:rsidR="004B4774" w:rsidRPr="005545E0" w:rsidRDefault="004B4774" w:rsidP="004B4774">
      <w:pPr>
        <w:pStyle w:val="ListNumber"/>
        <w:rPr>
          <w:lang w:val="en-US"/>
        </w:rPr>
      </w:pPr>
      <w:r w:rsidRPr="003D6B50">
        <w:rPr>
          <w:lang w:val="en-US"/>
        </w:rPr>
        <w:lastRenderedPageBreak/>
        <w:t xml:space="preserve">The majority of existing employment and business space </w:t>
      </w:r>
      <w:r>
        <w:rPr>
          <w:lang w:val="en-US"/>
        </w:rPr>
        <w:t xml:space="preserve">in </w:t>
      </w:r>
      <w:proofErr w:type="spellStart"/>
      <w:r>
        <w:rPr>
          <w:lang w:val="en-US"/>
        </w:rPr>
        <w:t>Chichester</w:t>
      </w:r>
      <w:proofErr w:type="spellEnd"/>
      <w:r>
        <w:rPr>
          <w:lang w:val="en-US"/>
        </w:rPr>
        <w:t xml:space="preserve"> </w:t>
      </w:r>
      <w:r w:rsidRPr="003D6B50">
        <w:rPr>
          <w:lang w:val="en-US"/>
        </w:rPr>
        <w:t>is focused around</w:t>
      </w:r>
      <w:r>
        <w:rPr>
          <w:lang w:val="en-US"/>
        </w:rPr>
        <w:t xml:space="preserve"> </w:t>
      </w:r>
      <w:proofErr w:type="spellStart"/>
      <w:r w:rsidRPr="006A2469">
        <w:rPr>
          <w:lang w:val="en-US"/>
        </w:rPr>
        <w:t>Chichester</w:t>
      </w:r>
      <w:proofErr w:type="spellEnd"/>
      <w:r w:rsidRPr="006A2469">
        <w:rPr>
          <w:lang w:val="en-US"/>
        </w:rPr>
        <w:t xml:space="preserve"> city and the A27 corridor</w:t>
      </w:r>
      <w:r>
        <w:rPr>
          <w:rStyle w:val="FootnoteReference"/>
          <w:lang w:val="en-US"/>
        </w:rPr>
        <w:footnoteReference w:id="46"/>
      </w:r>
      <w:r w:rsidRPr="006A2469">
        <w:rPr>
          <w:lang w:val="en-US"/>
        </w:rPr>
        <w:t>.</w:t>
      </w:r>
      <w:r>
        <w:rPr>
          <w:lang w:val="en-US"/>
        </w:rPr>
        <w:t xml:space="preserve"> </w:t>
      </w:r>
      <w:r w:rsidRPr="005545E0">
        <w:rPr>
          <w:lang w:val="en-US"/>
        </w:rPr>
        <w:t xml:space="preserve">The </w:t>
      </w:r>
      <w:proofErr w:type="spellStart"/>
      <w:r w:rsidRPr="005545E0">
        <w:rPr>
          <w:lang w:val="en-US"/>
        </w:rPr>
        <w:t>Chichester</w:t>
      </w:r>
      <w:proofErr w:type="spellEnd"/>
      <w:r w:rsidRPr="005545E0">
        <w:rPr>
          <w:lang w:val="en-US"/>
        </w:rPr>
        <w:t xml:space="preserve"> Employment Land Review Update (ELR) identifies a potential growth</w:t>
      </w:r>
      <w:r>
        <w:rPr>
          <w:lang w:val="en-US"/>
        </w:rPr>
        <w:t xml:space="preserve"> </w:t>
      </w:r>
      <w:r w:rsidRPr="005545E0">
        <w:rPr>
          <w:lang w:val="en-US"/>
        </w:rPr>
        <w:t xml:space="preserve">in the </w:t>
      </w:r>
      <w:r w:rsidR="005F5CF8">
        <w:rPr>
          <w:lang w:val="en-US"/>
        </w:rPr>
        <w:t>District</w:t>
      </w:r>
      <w:r w:rsidRPr="005545E0">
        <w:rPr>
          <w:lang w:val="en-US"/>
        </w:rPr>
        <w:t xml:space="preserve">'s </w:t>
      </w:r>
      <w:proofErr w:type="spellStart"/>
      <w:r w:rsidRPr="005545E0">
        <w:rPr>
          <w:lang w:val="en-US"/>
        </w:rPr>
        <w:t>labour</w:t>
      </w:r>
      <w:proofErr w:type="spellEnd"/>
      <w:r w:rsidRPr="005545E0">
        <w:rPr>
          <w:lang w:val="en-US"/>
        </w:rPr>
        <w:t xml:space="preserve"> force of around 3,200 over the period 2011-29</w:t>
      </w:r>
      <w:r>
        <w:rPr>
          <w:rStyle w:val="FootnoteReference"/>
          <w:lang w:val="en-US"/>
        </w:rPr>
        <w:footnoteReference w:id="47"/>
      </w:r>
      <w:r>
        <w:rPr>
          <w:lang w:val="en-US"/>
        </w:rPr>
        <w:t xml:space="preserve">. </w:t>
      </w:r>
      <w:r w:rsidRPr="00CD24A9">
        <w:rPr>
          <w:lang w:eastAsia="en-GB"/>
        </w:rPr>
        <w:t xml:space="preserve">Such employment growth </w:t>
      </w:r>
      <w:r>
        <w:rPr>
          <w:lang w:eastAsia="en-GB"/>
        </w:rPr>
        <w:t xml:space="preserve">in the </w:t>
      </w:r>
      <w:r w:rsidR="005F5CF8">
        <w:rPr>
          <w:lang w:eastAsia="en-GB"/>
        </w:rPr>
        <w:t>District</w:t>
      </w:r>
      <w:r>
        <w:rPr>
          <w:lang w:eastAsia="en-GB"/>
        </w:rPr>
        <w:t xml:space="preserve"> is likely to </w:t>
      </w:r>
      <w:r w:rsidRPr="00CD24A9">
        <w:rPr>
          <w:lang w:eastAsia="en-GB"/>
        </w:rPr>
        <w:t>bring with i</w:t>
      </w:r>
      <w:r>
        <w:rPr>
          <w:lang w:eastAsia="en-GB"/>
        </w:rPr>
        <w:t xml:space="preserve">t an increase in demand for housing at West Wittering in the future. </w:t>
      </w:r>
      <w:r>
        <w:rPr>
          <w:lang w:val="en-US"/>
        </w:rPr>
        <w:t xml:space="preserve">In service villages such as West </w:t>
      </w:r>
      <w:proofErr w:type="spellStart"/>
      <w:r>
        <w:rPr>
          <w:lang w:val="en-US"/>
        </w:rPr>
        <w:t>Wittering</w:t>
      </w:r>
      <w:proofErr w:type="spellEnd"/>
      <w:r>
        <w:rPr>
          <w:lang w:val="en-US"/>
        </w:rPr>
        <w:t>, the CLP states that provision will be made for s</w:t>
      </w:r>
      <w:r w:rsidRPr="002D2284">
        <w:rPr>
          <w:lang w:val="en-US"/>
        </w:rPr>
        <w:t>mall scale employmen</w:t>
      </w:r>
      <w:r>
        <w:rPr>
          <w:lang w:val="en-US"/>
        </w:rPr>
        <w:t>t, tourism or leisure proposals</w:t>
      </w:r>
      <w:r w:rsidR="001157B7">
        <w:rPr>
          <w:lang w:val="en-US"/>
        </w:rPr>
        <w:t>.</w:t>
      </w:r>
      <w:r>
        <w:rPr>
          <w:rStyle w:val="FootnoteReference"/>
          <w:lang w:val="en-US"/>
        </w:rPr>
        <w:footnoteReference w:id="48"/>
      </w:r>
    </w:p>
    <w:p w:rsidR="004B4774" w:rsidRPr="0068406A" w:rsidRDefault="00B25544" w:rsidP="004B4774">
      <w:pPr>
        <w:pStyle w:val="ListNumber"/>
        <w:rPr>
          <w:lang w:val="en-US"/>
        </w:rPr>
      </w:pPr>
      <w:r>
        <w:rPr>
          <w:rFonts w:ascii="Arial" w:hAnsi="Arial" w:cs="Arial"/>
          <w:szCs w:val="20"/>
          <w:lang w:val="en-US"/>
        </w:rPr>
        <w:fldChar w:fldCharType="begin"/>
      </w:r>
      <w:r>
        <w:rPr>
          <w:rFonts w:ascii="Arial" w:hAnsi="Arial" w:cs="Arial"/>
          <w:szCs w:val="20"/>
          <w:lang w:val="en-US"/>
        </w:rPr>
        <w:instrText xml:space="preserve"> REF _Ref495413771 \h </w:instrText>
      </w:r>
      <w:r>
        <w:rPr>
          <w:rFonts w:ascii="Arial" w:hAnsi="Arial" w:cs="Arial"/>
          <w:szCs w:val="20"/>
          <w:lang w:val="en-US"/>
        </w:rPr>
      </w:r>
      <w:r>
        <w:rPr>
          <w:rFonts w:ascii="Arial" w:hAnsi="Arial" w:cs="Arial"/>
          <w:szCs w:val="20"/>
          <w:lang w:val="en-US"/>
        </w:rPr>
        <w:fldChar w:fldCharType="separate"/>
      </w:r>
      <w:r>
        <w:t xml:space="preserve">Table </w:t>
      </w:r>
      <w:r>
        <w:rPr>
          <w:noProof/>
        </w:rPr>
        <w:t>20</w:t>
      </w:r>
      <w:r>
        <w:rPr>
          <w:rFonts w:ascii="Arial" w:hAnsi="Arial" w:cs="Arial"/>
          <w:szCs w:val="20"/>
          <w:lang w:val="en-US"/>
        </w:rPr>
        <w:fldChar w:fldCharType="end"/>
      </w:r>
      <w:r w:rsidR="004B4774">
        <w:rPr>
          <w:rFonts w:ascii="Arial" w:hAnsi="Arial" w:cs="Arial"/>
          <w:szCs w:val="20"/>
          <w:lang w:val="en-US"/>
        </w:rPr>
        <w:t xml:space="preserve"> </w:t>
      </w:r>
      <w:r w:rsidR="004B4774" w:rsidRPr="00BF41E1">
        <w:rPr>
          <w:rFonts w:ascii="Arial" w:hAnsi="Arial" w:cs="Arial"/>
          <w:szCs w:val="20"/>
        </w:rPr>
        <w:t>shows that</w:t>
      </w:r>
      <w:r w:rsidR="004B4774">
        <w:rPr>
          <w:rFonts w:ascii="Arial" w:hAnsi="Arial" w:cs="Arial"/>
          <w:szCs w:val="20"/>
        </w:rPr>
        <w:t xml:space="preserve"> the 2011 rate of employment in West Wittering, at 59.6% is significantly lower than that of Chichester and England as a whole. The proportion of full-time employees in West Wittering (23.7%) is 10.7 percentage points lower than across Chichester (34.4%) while the proportion of retirees in West Wittering (29.8%) is 11.6 percentage points greater than across Chichester (18.2%).</w:t>
      </w:r>
      <w:r w:rsidR="004B4774" w:rsidRPr="009D237A">
        <w:rPr>
          <w:lang w:val="en-US"/>
        </w:rPr>
        <w:t xml:space="preserve"> </w:t>
      </w:r>
    </w:p>
    <w:p w:rsidR="004B4774" w:rsidRPr="00CA66E4" w:rsidRDefault="004B4774" w:rsidP="004B4774">
      <w:pPr>
        <w:pStyle w:val="Caption"/>
      </w:pPr>
      <w:bookmarkStart w:id="152" w:name="_Ref495413771"/>
      <w:bookmarkStart w:id="153" w:name="_Toc488669616"/>
      <w:bookmarkStart w:id="154" w:name="_Toc495920050"/>
      <w:r>
        <w:t xml:space="preserve">Table </w:t>
      </w:r>
      <w:fldSimple w:instr=" SEQ Table \* ARABIC ">
        <w:r w:rsidR="00B25544">
          <w:rPr>
            <w:noProof/>
          </w:rPr>
          <w:t>20</w:t>
        </w:r>
      </w:fldSimple>
      <w:bookmarkEnd w:id="152"/>
      <w:r>
        <w:t xml:space="preserve">: </w:t>
      </w:r>
      <w:r w:rsidRPr="009712F1">
        <w:t xml:space="preserve">Economic activity in </w:t>
      </w:r>
      <w:r>
        <w:t>West Wittering</w:t>
      </w:r>
      <w:r w:rsidRPr="009712F1">
        <w:t>, 2011</w:t>
      </w:r>
      <w:bookmarkEnd w:id="153"/>
      <w:bookmarkEnd w:id="154"/>
    </w:p>
    <w:tbl>
      <w:tblPr>
        <w:tblW w:w="86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2551"/>
        <w:gridCol w:w="1560"/>
        <w:gridCol w:w="1275"/>
        <w:gridCol w:w="1276"/>
      </w:tblGrid>
      <w:tr w:rsidR="004B4774" w:rsidRPr="00BB3DC2" w:rsidTr="009A5A02">
        <w:trPr>
          <w:trHeight w:val="288"/>
        </w:trPr>
        <w:tc>
          <w:tcPr>
            <w:tcW w:w="1985" w:type="dxa"/>
            <w:shd w:val="clear" w:color="auto" w:fill="000000" w:themeFill="text1"/>
            <w:noWrap/>
            <w:vAlign w:val="bottom"/>
            <w:hideMark/>
          </w:tcPr>
          <w:p w:rsidR="004B4774" w:rsidRPr="00BB3DC2" w:rsidRDefault="004B4774" w:rsidP="009A5A02">
            <w:pPr>
              <w:tabs>
                <w:tab w:val="clear" w:pos="284"/>
              </w:tabs>
              <w:spacing w:line="240" w:lineRule="auto"/>
              <w:rPr>
                <w:rFonts w:eastAsia="Times New Roman" w:cstheme="minorHAnsi"/>
                <w:b/>
                <w:bCs/>
                <w:color w:val="FFFFFF" w:themeColor="background1"/>
                <w:kern w:val="0"/>
                <w:lang w:eastAsia="en-GB"/>
              </w:rPr>
            </w:pPr>
            <w:r w:rsidRPr="00BB3DC2">
              <w:rPr>
                <w:rFonts w:eastAsia="Times New Roman" w:cstheme="minorHAnsi"/>
                <w:b/>
                <w:bCs/>
                <w:color w:val="FFFFFF" w:themeColor="background1"/>
                <w:kern w:val="0"/>
                <w:lang w:eastAsia="en-GB"/>
              </w:rPr>
              <w:t>Economic category</w:t>
            </w:r>
          </w:p>
        </w:tc>
        <w:tc>
          <w:tcPr>
            <w:tcW w:w="2551" w:type="dxa"/>
            <w:shd w:val="clear" w:color="auto" w:fill="000000" w:themeFill="text1"/>
            <w:noWrap/>
            <w:vAlign w:val="bottom"/>
            <w:hideMark/>
          </w:tcPr>
          <w:p w:rsidR="004B4774" w:rsidRPr="00BB3DC2" w:rsidRDefault="004B4774" w:rsidP="009A5A02">
            <w:pPr>
              <w:tabs>
                <w:tab w:val="clear" w:pos="284"/>
              </w:tabs>
              <w:spacing w:line="240" w:lineRule="auto"/>
              <w:rPr>
                <w:rFonts w:eastAsia="Times New Roman" w:cstheme="minorHAnsi"/>
                <w:b/>
                <w:bCs/>
                <w:color w:val="FFFFFF" w:themeColor="background1"/>
                <w:kern w:val="0"/>
                <w:lang w:eastAsia="en-GB"/>
              </w:rPr>
            </w:pPr>
          </w:p>
        </w:tc>
        <w:tc>
          <w:tcPr>
            <w:tcW w:w="1560" w:type="dxa"/>
            <w:shd w:val="clear" w:color="auto" w:fill="000000" w:themeFill="text1"/>
            <w:noWrap/>
            <w:vAlign w:val="bottom"/>
            <w:hideMark/>
          </w:tcPr>
          <w:p w:rsidR="004B4774" w:rsidRPr="00BB3DC2" w:rsidRDefault="004B4774" w:rsidP="009A5A02">
            <w:pPr>
              <w:tabs>
                <w:tab w:val="clear" w:pos="284"/>
              </w:tabs>
              <w:spacing w:line="240" w:lineRule="auto"/>
              <w:jc w:val="center"/>
              <w:rPr>
                <w:rFonts w:eastAsia="Times New Roman" w:cstheme="minorHAnsi"/>
                <w:b/>
                <w:bCs/>
                <w:color w:val="FFFFFF" w:themeColor="background1"/>
                <w:kern w:val="0"/>
                <w:lang w:eastAsia="en-GB"/>
              </w:rPr>
            </w:pPr>
            <w:r w:rsidRPr="00BB3DC2">
              <w:rPr>
                <w:rFonts w:eastAsia="Times New Roman" w:cstheme="minorHAnsi"/>
                <w:b/>
                <w:bCs/>
                <w:color w:val="FFFFFF" w:themeColor="background1"/>
                <w:kern w:val="0"/>
                <w:lang w:eastAsia="en-GB"/>
              </w:rPr>
              <w:t>West Wittering</w:t>
            </w:r>
          </w:p>
        </w:tc>
        <w:tc>
          <w:tcPr>
            <w:tcW w:w="1275" w:type="dxa"/>
            <w:shd w:val="clear" w:color="auto" w:fill="000000" w:themeFill="text1"/>
            <w:noWrap/>
            <w:vAlign w:val="bottom"/>
            <w:hideMark/>
          </w:tcPr>
          <w:p w:rsidR="004B4774" w:rsidRPr="00BB3DC2" w:rsidRDefault="004B4774" w:rsidP="009A5A02">
            <w:pPr>
              <w:tabs>
                <w:tab w:val="clear" w:pos="284"/>
              </w:tabs>
              <w:spacing w:line="240" w:lineRule="auto"/>
              <w:jc w:val="center"/>
              <w:rPr>
                <w:rFonts w:eastAsia="Times New Roman" w:cstheme="minorHAnsi"/>
                <w:b/>
                <w:bCs/>
                <w:color w:val="FFFFFF" w:themeColor="background1"/>
                <w:kern w:val="0"/>
                <w:lang w:eastAsia="en-GB"/>
              </w:rPr>
            </w:pPr>
            <w:r w:rsidRPr="00BB3DC2">
              <w:rPr>
                <w:rFonts w:eastAsia="Times New Roman" w:cstheme="minorHAnsi"/>
                <w:b/>
                <w:bCs/>
                <w:color w:val="FFFFFF" w:themeColor="background1"/>
                <w:kern w:val="0"/>
                <w:lang w:eastAsia="en-GB"/>
              </w:rPr>
              <w:t>Chichester</w:t>
            </w:r>
          </w:p>
        </w:tc>
        <w:tc>
          <w:tcPr>
            <w:tcW w:w="1276" w:type="dxa"/>
            <w:shd w:val="clear" w:color="auto" w:fill="000000" w:themeFill="text1"/>
            <w:vAlign w:val="bottom"/>
          </w:tcPr>
          <w:p w:rsidR="004B4774" w:rsidRPr="00F322B8" w:rsidRDefault="004B4774" w:rsidP="009A5A02">
            <w:pPr>
              <w:tabs>
                <w:tab w:val="clear" w:pos="284"/>
              </w:tabs>
              <w:spacing w:line="240" w:lineRule="auto"/>
              <w:jc w:val="center"/>
              <w:rPr>
                <w:rFonts w:eastAsia="Times New Roman" w:cstheme="minorHAnsi"/>
                <w:b/>
                <w:bCs/>
                <w:color w:val="FFFFFF" w:themeColor="background1"/>
                <w:kern w:val="0"/>
                <w:lang w:eastAsia="en-GB"/>
              </w:rPr>
            </w:pPr>
            <w:r w:rsidRPr="00F322B8">
              <w:rPr>
                <w:rFonts w:eastAsia="Times New Roman" w:cstheme="minorHAnsi"/>
                <w:b/>
                <w:bCs/>
                <w:color w:val="FFFFFF" w:themeColor="background1"/>
                <w:kern w:val="0"/>
                <w:lang w:eastAsia="en-GB"/>
              </w:rPr>
              <w:t>England</w:t>
            </w:r>
          </w:p>
        </w:tc>
      </w:tr>
      <w:tr w:rsidR="004B4774" w:rsidRPr="00BB3DC2" w:rsidTr="009A5A02">
        <w:trPr>
          <w:trHeight w:val="288"/>
        </w:trPr>
        <w:tc>
          <w:tcPr>
            <w:tcW w:w="1985" w:type="dxa"/>
            <w:shd w:val="clear" w:color="auto" w:fill="D9D9D9" w:themeFill="background2" w:themeFillShade="D9"/>
            <w:noWrap/>
            <w:vAlign w:val="bottom"/>
            <w:hideMark/>
          </w:tcPr>
          <w:p w:rsidR="004B4774" w:rsidRPr="00BB3DC2" w:rsidRDefault="004B4774" w:rsidP="009A5A02">
            <w:pPr>
              <w:tabs>
                <w:tab w:val="clear" w:pos="284"/>
              </w:tabs>
              <w:spacing w:line="240" w:lineRule="auto"/>
              <w:rPr>
                <w:rFonts w:eastAsia="Times New Roman" w:cstheme="minorHAnsi"/>
                <w:color w:val="000000"/>
                <w:kern w:val="0"/>
                <w:lang w:eastAsia="en-GB"/>
              </w:rPr>
            </w:pPr>
            <w:r w:rsidRPr="00BB3DC2">
              <w:rPr>
                <w:rFonts w:eastAsia="Times New Roman" w:cstheme="minorHAnsi"/>
                <w:color w:val="000000"/>
                <w:kern w:val="0"/>
                <w:lang w:eastAsia="en-GB"/>
              </w:rPr>
              <w:t>Economically active</w:t>
            </w:r>
          </w:p>
        </w:tc>
        <w:tc>
          <w:tcPr>
            <w:tcW w:w="2551" w:type="dxa"/>
            <w:shd w:val="clear" w:color="auto" w:fill="D9D9D9" w:themeFill="background2" w:themeFillShade="D9"/>
            <w:noWrap/>
            <w:vAlign w:val="bottom"/>
            <w:hideMark/>
          </w:tcPr>
          <w:p w:rsidR="004B4774" w:rsidRPr="00BB3DC2" w:rsidRDefault="004B4774" w:rsidP="009A5A02">
            <w:pPr>
              <w:tabs>
                <w:tab w:val="clear" w:pos="284"/>
              </w:tabs>
              <w:spacing w:line="240" w:lineRule="auto"/>
              <w:rPr>
                <w:rFonts w:eastAsia="Times New Roman" w:cstheme="minorHAnsi"/>
                <w:color w:val="000000"/>
                <w:kern w:val="0"/>
                <w:lang w:eastAsia="en-GB"/>
              </w:rPr>
            </w:pPr>
            <w:r w:rsidRPr="00BB3DC2">
              <w:rPr>
                <w:rFonts w:eastAsia="Times New Roman" w:cstheme="minorHAnsi"/>
                <w:color w:val="000000"/>
                <w:kern w:val="0"/>
                <w:lang w:eastAsia="en-GB"/>
              </w:rPr>
              <w:t>Total</w:t>
            </w:r>
          </w:p>
        </w:tc>
        <w:tc>
          <w:tcPr>
            <w:tcW w:w="1560" w:type="dxa"/>
            <w:shd w:val="clear" w:color="auto" w:fill="auto"/>
            <w:noWrap/>
            <w:vAlign w:val="bottom"/>
            <w:hideMark/>
          </w:tcPr>
          <w:p w:rsidR="004B4774" w:rsidRPr="00BB3DC2" w:rsidRDefault="004B4774" w:rsidP="009A5A02">
            <w:pPr>
              <w:tabs>
                <w:tab w:val="clear" w:pos="284"/>
              </w:tabs>
              <w:spacing w:line="240" w:lineRule="auto"/>
              <w:jc w:val="right"/>
              <w:rPr>
                <w:rFonts w:eastAsia="Times New Roman" w:cstheme="minorHAnsi"/>
                <w:color w:val="000000"/>
                <w:kern w:val="0"/>
                <w:lang w:eastAsia="en-GB"/>
              </w:rPr>
            </w:pPr>
            <w:r w:rsidRPr="00F322B8">
              <w:rPr>
                <w:rFonts w:cstheme="minorHAnsi"/>
                <w:color w:val="000000"/>
              </w:rPr>
              <w:t>59.6%</w:t>
            </w:r>
          </w:p>
        </w:tc>
        <w:tc>
          <w:tcPr>
            <w:tcW w:w="1275" w:type="dxa"/>
            <w:shd w:val="clear" w:color="auto" w:fill="auto"/>
            <w:noWrap/>
            <w:vAlign w:val="bottom"/>
            <w:hideMark/>
          </w:tcPr>
          <w:p w:rsidR="004B4774" w:rsidRPr="00BB3DC2" w:rsidRDefault="004B4774" w:rsidP="009A5A02">
            <w:pPr>
              <w:tabs>
                <w:tab w:val="clear" w:pos="284"/>
              </w:tabs>
              <w:spacing w:line="240" w:lineRule="auto"/>
              <w:jc w:val="right"/>
              <w:rPr>
                <w:rFonts w:eastAsia="Times New Roman" w:cstheme="minorHAnsi"/>
                <w:color w:val="000000"/>
                <w:kern w:val="0"/>
                <w:lang w:eastAsia="en-GB"/>
              </w:rPr>
            </w:pPr>
            <w:r w:rsidRPr="00F322B8">
              <w:rPr>
                <w:rFonts w:cstheme="minorHAnsi"/>
                <w:color w:val="000000"/>
              </w:rPr>
              <w:t>69.2%</w:t>
            </w:r>
          </w:p>
        </w:tc>
        <w:tc>
          <w:tcPr>
            <w:tcW w:w="1276" w:type="dxa"/>
            <w:vAlign w:val="bottom"/>
          </w:tcPr>
          <w:p w:rsidR="004B4774" w:rsidRPr="00F322B8" w:rsidRDefault="004B4774" w:rsidP="009A5A02">
            <w:pPr>
              <w:tabs>
                <w:tab w:val="clear" w:pos="284"/>
              </w:tabs>
              <w:spacing w:line="240" w:lineRule="auto"/>
              <w:jc w:val="right"/>
              <w:rPr>
                <w:rFonts w:eastAsia="Times New Roman" w:cstheme="minorHAnsi"/>
                <w:color w:val="000000"/>
                <w:kern w:val="0"/>
                <w:lang w:eastAsia="en-GB"/>
              </w:rPr>
            </w:pPr>
            <w:r w:rsidRPr="00F322B8">
              <w:rPr>
                <w:rFonts w:cstheme="minorHAnsi"/>
                <w:color w:val="000000"/>
              </w:rPr>
              <w:t>69.9%</w:t>
            </w:r>
          </w:p>
        </w:tc>
      </w:tr>
      <w:tr w:rsidR="004B4774" w:rsidRPr="00BB3DC2" w:rsidTr="009A5A02">
        <w:trPr>
          <w:trHeight w:val="288"/>
        </w:trPr>
        <w:tc>
          <w:tcPr>
            <w:tcW w:w="1985" w:type="dxa"/>
            <w:shd w:val="clear" w:color="auto" w:fill="D9D9D9" w:themeFill="background2" w:themeFillShade="D9"/>
            <w:noWrap/>
            <w:vAlign w:val="bottom"/>
            <w:hideMark/>
          </w:tcPr>
          <w:p w:rsidR="004B4774" w:rsidRPr="00BB3DC2" w:rsidRDefault="004B4774" w:rsidP="009A5A02">
            <w:pPr>
              <w:tabs>
                <w:tab w:val="clear" w:pos="284"/>
              </w:tabs>
              <w:spacing w:line="240" w:lineRule="auto"/>
              <w:rPr>
                <w:rFonts w:eastAsia="Times New Roman" w:cstheme="minorHAnsi"/>
                <w:color w:val="000000"/>
                <w:kern w:val="0"/>
                <w:lang w:eastAsia="en-GB"/>
              </w:rPr>
            </w:pPr>
          </w:p>
        </w:tc>
        <w:tc>
          <w:tcPr>
            <w:tcW w:w="2551" w:type="dxa"/>
            <w:shd w:val="clear" w:color="auto" w:fill="D9D9D9" w:themeFill="background2" w:themeFillShade="D9"/>
            <w:noWrap/>
            <w:vAlign w:val="bottom"/>
            <w:hideMark/>
          </w:tcPr>
          <w:p w:rsidR="004B4774" w:rsidRPr="00BB3DC2" w:rsidRDefault="004B4774" w:rsidP="009A5A02">
            <w:pPr>
              <w:tabs>
                <w:tab w:val="clear" w:pos="284"/>
              </w:tabs>
              <w:spacing w:line="240" w:lineRule="auto"/>
              <w:rPr>
                <w:rFonts w:eastAsia="Times New Roman" w:cstheme="minorHAnsi"/>
                <w:color w:val="000000"/>
                <w:kern w:val="0"/>
                <w:lang w:eastAsia="en-GB"/>
              </w:rPr>
            </w:pPr>
            <w:r w:rsidRPr="00BB3DC2">
              <w:rPr>
                <w:rFonts w:eastAsia="Times New Roman" w:cstheme="minorHAnsi"/>
                <w:color w:val="000000"/>
                <w:kern w:val="0"/>
                <w:lang w:eastAsia="en-GB"/>
              </w:rPr>
              <w:t>Employee: Full-time</w:t>
            </w:r>
          </w:p>
        </w:tc>
        <w:tc>
          <w:tcPr>
            <w:tcW w:w="1560" w:type="dxa"/>
            <w:shd w:val="clear" w:color="auto" w:fill="auto"/>
            <w:noWrap/>
            <w:vAlign w:val="bottom"/>
            <w:hideMark/>
          </w:tcPr>
          <w:p w:rsidR="004B4774" w:rsidRPr="00BB3DC2" w:rsidRDefault="004B4774" w:rsidP="009A5A02">
            <w:pPr>
              <w:tabs>
                <w:tab w:val="clear" w:pos="284"/>
              </w:tabs>
              <w:spacing w:line="240" w:lineRule="auto"/>
              <w:jc w:val="right"/>
              <w:rPr>
                <w:rFonts w:eastAsia="Times New Roman" w:cstheme="minorHAnsi"/>
                <w:color w:val="000000"/>
                <w:kern w:val="0"/>
                <w:lang w:eastAsia="en-GB"/>
              </w:rPr>
            </w:pPr>
            <w:r w:rsidRPr="00F322B8">
              <w:rPr>
                <w:rFonts w:cstheme="minorHAnsi"/>
                <w:color w:val="000000"/>
              </w:rPr>
              <w:t>23.7%</w:t>
            </w:r>
          </w:p>
        </w:tc>
        <w:tc>
          <w:tcPr>
            <w:tcW w:w="1275" w:type="dxa"/>
            <w:shd w:val="clear" w:color="auto" w:fill="auto"/>
            <w:noWrap/>
            <w:vAlign w:val="bottom"/>
            <w:hideMark/>
          </w:tcPr>
          <w:p w:rsidR="004B4774" w:rsidRPr="00BB3DC2" w:rsidRDefault="004B4774" w:rsidP="009A5A02">
            <w:pPr>
              <w:tabs>
                <w:tab w:val="clear" w:pos="284"/>
              </w:tabs>
              <w:spacing w:line="240" w:lineRule="auto"/>
              <w:jc w:val="right"/>
              <w:rPr>
                <w:rFonts w:eastAsia="Times New Roman" w:cstheme="minorHAnsi"/>
                <w:color w:val="000000"/>
                <w:kern w:val="0"/>
                <w:lang w:eastAsia="en-GB"/>
              </w:rPr>
            </w:pPr>
            <w:r w:rsidRPr="00F322B8">
              <w:rPr>
                <w:rFonts w:cstheme="minorHAnsi"/>
                <w:color w:val="000000"/>
              </w:rPr>
              <w:t>34.4%</w:t>
            </w:r>
          </w:p>
        </w:tc>
        <w:tc>
          <w:tcPr>
            <w:tcW w:w="1276" w:type="dxa"/>
            <w:vAlign w:val="bottom"/>
          </w:tcPr>
          <w:p w:rsidR="004B4774" w:rsidRPr="00F322B8" w:rsidRDefault="004B4774" w:rsidP="009A5A02">
            <w:pPr>
              <w:tabs>
                <w:tab w:val="clear" w:pos="284"/>
              </w:tabs>
              <w:spacing w:line="240" w:lineRule="auto"/>
              <w:jc w:val="right"/>
              <w:rPr>
                <w:rFonts w:eastAsia="Times New Roman" w:cstheme="minorHAnsi"/>
                <w:color w:val="000000"/>
                <w:kern w:val="0"/>
                <w:lang w:eastAsia="en-GB"/>
              </w:rPr>
            </w:pPr>
            <w:r w:rsidRPr="00F322B8">
              <w:rPr>
                <w:rFonts w:cstheme="minorHAnsi"/>
                <w:color w:val="000000"/>
              </w:rPr>
              <w:t>13.7%</w:t>
            </w:r>
          </w:p>
        </w:tc>
      </w:tr>
      <w:tr w:rsidR="004B4774" w:rsidRPr="00BB3DC2" w:rsidTr="009A5A02">
        <w:trPr>
          <w:trHeight w:val="288"/>
        </w:trPr>
        <w:tc>
          <w:tcPr>
            <w:tcW w:w="1985" w:type="dxa"/>
            <w:shd w:val="clear" w:color="auto" w:fill="D9D9D9" w:themeFill="background2" w:themeFillShade="D9"/>
            <w:noWrap/>
            <w:vAlign w:val="bottom"/>
            <w:hideMark/>
          </w:tcPr>
          <w:p w:rsidR="004B4774" w:rsidRPr="00BB3DC2" w:rsidRDefault="004B4774" w:rsidP="009A5A02">
            <w:pPr>
              <w:tabs>
                <w:tab w:val="clear" w:pos="284"/>
              </w:tabs>
              <w:spacing w:line="240" w:lineRule="auto"/>
              <w:rPr>
                <w:rFonts w:eastAsia="Times New Roman" w:cstheme="minorHAnsi"/>
                <w:color w:val="000000"/>
                <w:kern w:val="0"/>
                <w:lang w:eastAsia="en-GB"/>
              </w:rPr>
            </w:pPr>
          </w:p>
        </w:tc>
        <w:tc>
          <w:tcPr>
            <w:tcW w:w="2551" w:type="dxa"/>
            <w:shd w:val="clear" w:color="auto" w:fill="D9D9D9" w:themeFill="background2" w:themeFillShade="D9"/>
            <w:noWrap/>
            <w:vAlign w:val="bottom"/>
            <w:hideMark/>
          </w:tcPr>
          <w:p w:rsidR="004B4774" w:rsidRPr="00BB3DC2" w:rsidRDefault="004B4774" w:rsidP="009A5A02">
            <w:pPr>
              <w:tabs>
                <w:tab w:val="clear" w:pos="284"/>
              </w:tabs>
              <w:spacing w:line="240" w:lineRule="auto"/>
              <w:rPr>
                <w:rFonts w:eastAsia="Times New Roman" w:cstheme="minorHAnsi"/>
                <w:color w:val="000000"/>
                <w:kern w:val="0"/>
                <w:lang w:eastAsia="en-GB"/>
              </w:rPr>
            </w:pPr>
            <w:r w:rsidRPr="00BB3DC2">
              <w:rPr>
                <w:rFonts w:eastAsia="Times New Roman" w:cstheme="minorHAnsi"/>
                <w:color w:val="000000"/>
                <w:kern w:val="0"/>
                <w:lang w:eastAsia="en-GB"/>
              </w:rPr>
              <w:t xml:space="preserve">Employee: Part-time </w:t>
            </w:r>
          </w:p>
        </w:tc>
        <w:tc>
          <w:tcPr>
            <w:tcW w:w="1560" w:type="dxa"/>
            <w:shd w:val="clear" w:color="auto" w:fill="auto"/>
            <w:noWrap/>
            <w:vAlign w:val="bottom"/>
            <w:hideMark/>
          </w:tcPr>
          <w:p w:rsidR="004B4774" w:rsidRPr="00BB3DC2" w:rsidRDefault="004B4774" w:rsidP="009A5A02">
            <w:pPr>
              <w:tabs>
                <w:tab w:val="clear" w:pos="284"/>
              </w:tabs>
              <w:spacing w:line="240" w:lineRule="auto"/>
              <w:jc w:val="right"/>
              <w:rPr>
                <w:rFonts w:eastAsia="Times New Roman" w:cstheme="minorHAnsi"/>
                <w:color w:val="000000"/>
                <w:kern w:val="0"/>
                <w:lang w:eastAsia="en-GB"/>
              </w:rPr>
            </w:pPr>
            <w:r w:rsidRPr="00F322B8">
              <w:rPr>
                <w:rFonts w:cstheme="minorHAnsi"/>
                <w:color w:val="000000"/>
              </w:rPr>
              <w:t>14.1%</w:t>
            </w:r>
          </w:p>
        </w:tc>
        <w:tc>
          <w:tcPr>
            <w:tcW w:w="1275" w:type="dxa"/>
            <w:shd w:val="clear" w:color="auto" w:fill="auto"/>
            <w:noWrap/>
            <w:vAlign w:val="bottom"/>
            <w:hideMark/>
          </w:tcPr>
          <w:p w:rsidR="004B4774" w:rsidRPr="00BB3DC2" w:rsidRDefault="004B4774" w:rsidP="009A5A02">
            <w:pPr>
              <w:tabs>
                <w:tab w:val="clear" w:pos="284"/>
              </w:tabs>
              <w:spacing w:line="240" w:lineRule="auto"/>
              <w:jc w:val="right"/>
              <w:rPr>
                <w:rFonts w:eastAsia="Times New Roman" w:cstheme="minorHAnsi"/>
                <w:color w:val="000000"/>
                <w:kern w:val="0"/>
                <w:lang w:eastAsia="en-GB"/>
              </w:rPr>
            </w:pPr>
            <w:r w:rsidRPr="00F322B8">
              <w:rPr>
                <w:rFonts w:cstheme="minorHAnsi"/>
                <w:color w:val="000000"/>
              </w:rPr>
              <w:t>14.0%</w:t>
            </w:r>
          </w:p>
        </w:tc>
        <w:tc>
          <w:tcPr>
            <w:tcW w:w="1276" w:type="dxa"/>
            <w:vAlign w:val="bottom"/>
          </w:tcPr>
          <w:p w:rsidR="004B4774" w:rsidRPr="00F322B8" w:rsidRDefault="004B4774" w:rsidP="009A5A02">
            <w:pPr>
              <w:tabs>
                <w:tab w:val="clear" w:pos="284"/>
              </w:tabs>
              <w:spacing w:line="240" w:lineRule="auto"/>
              <w:jc w:val="right"/>
              <w:rPr>
                <w:rFonts w:eastAsia="Times New Roman" w:cstheme="minorHAnsi"/>
                <w:color w:val="000000"/>
                <w:kern w:val="0"/>
                <w:lang w:eastAsia="en-GB"/>
              </w:rPr>
            </w:pPr>
            <w:r w:rsidRPr="00F322B8">
              <w:rPr>
                <w:rFonts w:cstheme="minorHAnsi"/>
                <w:color w:val="000000"/>
              </w:rPr>
              <w:t>38.6%</w:t>
            </w:r>
          </w:p>
        </w:tc>
      </w:tr>
      <w:tr w:rsidR="004B4774" w:rsidRPr="00BB3DC2" w:rsidTr="009A5A02">
        <w:trPr>
          <w:trHeight w:val="288"/>
        </w:trPr>
        <w:tc>
          <w:tcPr>
            <w:tcW w:w="1985" w:type="dxa"/>
            <w:shd w:val="clear" w:color="auto" w:fill="D9D9D9" w:themeFill="background2" w:themeFillShade="D9"/>
            <w:noWrap/>
            <w:vAlign w:val="bottom"/>
            <w:hideMark/>
          </w:tcPr>
          <w:p w:rsidR="004B4774" w:rsidRPr="00BB3DC2" w:rsidRDefault="004B4774" w:rsidP="009A5A02">
            <w:pPr>
              <w:tabs>
                <w:tab w:val="clear" w:pos="284"/>
              </w:tabs>
              <w:spacing w:line="240" w:lineRule="auto"/>
              <w:rPr>
                <w:rFonts w:eastAsia="Times New Roman" w:cstheme="minorHAnsi"/>
                <w:color w:val="000000"/>
                <w:kern w:val="0"/>
                <w:lang w:eastAsia="en-GB"/>
              </w:rPr>
            </w:pPr>
          </w:p>
        </w:tc>
        <w:tc>
          <w:tcPr>
            <w:tcW w:w="2551" w:type="dxa"/>
            <w:shd w:val="clear" w:color="auto" w:fill="D9D9D9" w:themeFill="background2" w:themeFillShade="D9"/>
            <w:noWrap/>
            <w:vAlign w:val="bottom"/>
            <w:hideMark/>
          </w:tcPr>
          <w:p w:rsidR="004B4774" w:rsidRPr="00BB3DC2" w:rsidRDefault="004B4774" w:rsidP="009A5A02">
            <w:pPr>
              <w:tabs>
                <w:tab w:val="clear" w:pos="284"/>
              </w:tabs>
              <w:spacing w:line="240" w:lineRule="auto"/>
              <w:rPr>
                <w:rFonts w:eastAsia="Times New Roman" w:cstheme="minorHAnsi"/>
                <w:color w:val="000000"/>
                <w:kern w:val="0"/>
                <w:lang w:eastAsia="en-GB"/>
              </w:rPr>
            </w:pPr>
            <w:r w:rsidRPr="00BB3DC2">
              <w:rPr>
                <w:rFonts w:eastAsia="Times New Roman" w:cstheme="minorHAnsi"/>
                <w:color w:val="000000"/>
                <w:kern w:val="0"/>
                <w:lang w:eastAsia="en-GB"/>
              </w:rPr>
              <w:t>Self-employed</w:t>
            </w:r>
          </w:p>
        </w:tc>
        <w:tc>
          <w:tcPr>
            <w:tcW w:w="1560" w:type="dxa"/>
            <w:shd w:val="clear" w:color="auto" w:fill="auto"/>
            <w:noWrap/>
            <w:vAlign w:val="bottom"/>
            <w:hideMark/>
          </w:tcPr>
          <w:p w:rsidR="004B4774" w:rsidRPr="00BB3DC2" w:rsidRDefault="004B4774" w:rsidP="009A5A02">
            <w:pPr>
              <w:tabs>
                <w:tab w:val="clear" w:pos="284"/>
              </w:tabs>
              <w:spacing w:line="240" w:lineRule="auto"/>
              <w:jc w:val="right"/>
              <w:rPr>
                <w:rFonts w:eastAsia="Times New Roman" w:cstheme="minorHAnsi"/>
                <w:color w:val="000000"/>
                <w:kern w:val="0"/>
                <w:lang w:eastAsia="en-GB"/>
              </w:rPr>
            </w:pPr>
            <w:r w:rsidRPr="00F322B8">
              <w:rPr>
                <w:rFonts w:cstheme="minorHAnsi"/>
                <w:color w:val="000000"/>
              </w:rPr>
              <w:t>17.4%</w:t>
            </w:r>
          </w:p>
        </w:tc>
        <w:tc>
          <w:tcPr>
            <w:tcW w:w="1275" w:type="dxa"/>
            <w:shd w:val="clear" w:color="auto" w:fill="auto"/>
            <w:noWrap/>
            <w:vAlign w:val="bottom"/>
            <w:hideMark/>
          </w:tcPr>
          <w:p w:rsidR="004B4774" w:rsidRPr="00BB3DC2" w:rsidRDefault="004B4774" w:rsidP="009A5A02">
            <w:pPr>
              <w:tabs>
                <w:tab w:val="clear" w:pos="284"/>
              </w:tabs>
              <w:spacing w:line="240" w:lineRule="auto"/>
              <w:jc w:val="right"/>
              <w:rPr>
                <w:rFonts w:eastAsia="Times New Roman" w:cstheme="minorHAnsi"/>
                <w:color w:val="000000"/>
                <w:kern w:val="0"/>
                <w:lang w:eastAsia="en-GB"/>
              </w:rPr>
            </w:pPr>
            <w:r w:rsidRPr="00F322B8">
              <w:rPr>
                <w:rFonts w:cstheme="minorHAnsi"/>
                <w:color w:val="000000"/>
              </w:rPr>
              <w:t>14.5%</w:t>
            </w:r>
          </w:p>
        </w:tc>
        <w:tc>
          <w:tcPr>
            <w:tcW w:w="1276" w:type="dxa"/>
            <w:vAlign w:val="bottom"/>
          </w:tcPr>
          <w:p w:rsidR="004B4774" w:rsidRPr="00F322B8" w:rsidRDefault="004B4774" w:rsidP="009A5A02">
            <w:pPr>
              <w:tabs>
                <w:tab w:val="clear" w:pos="284"/>
              </w:tabs>
              <w:spacing w:line="240" w:lineRule="auto"/>
              <w:jc w:val="right"/>
              <w:rPr>
                <w:rFonts w:eastAsia="Times New Roman" w:cstheme="minorHAnsi"/>
                <w:color w:val="000000"/>
                <w:kern w:val="0"/>
                <w:lang w:eastAsia="en-GB"/>
              </w:rPr>
            </w:pPr>
            <w:r w:rsidRPr="00F322B8">
              <w:rPr>
                <w:rFonts w:cstheme="minorHAnsi"/>
                <w:color w:val="000000"/>
              </w:rPr>
              <w:t>9.8%</w:t>
            </w:r>
          </w:p>
        </w:tc>
      </w:tr>
      <w:tr w:rsidR="004B4774" w:rsidRPr="00BB3DC2" w:rsidTr="009A5A02">
        <w:trPr>
          <w:trHeight w:val="288"/>
        </w:trPr>
        <w:tc>
          <w:tcPr>
            <w:tcW w:w="1985" w:type="dxa"/>
            <w:shd w:val="clear" w:color="auto" w:fill="D9D9D9" w:themeFill="background2" w:themeFillShade="D9"/>
            <w:noWrap/>
            <w:vAlign w:val="bottom"/>
            <w:hideMark/>
          </w:tcPr>
          <w:p w:rsidR="004B4774" w:rsidRPr="00BB3DC2" w:rsidRDefault="004B4774" w:rsidP="009A5A02">
            <w:pPr>
              <w:tabs>
                <w:tab w:val="clear" w:pos="284"/>
              </w:tabs>
              <w:spacing w:line="240" w:lineRule="auto"/>
              <w:rPr>
                <w:rFonts w:eastAsia="Times New Roman" w:cstheme="minorHAnsi"/>
                <w:color w:val="000000"/>
                <w:kern w:val="0"/>
                <w:lang w:eastAsia="en-GB"/>
              </w:rPr>
            </w:pPr>
          </w:p>
        </w:tc>
        <w:tc>
          <w:tcPr>
            <w:tcW w:w="2551" w:type="dxa"/>
            <w:shd w:val="clear" w:color="auto" w:fill="D9D9D9" w:themeFill="background2" w:themeFillShade="D9"/>
            <w:noWrap/>
            <w:vAlign w:val="bottom"/>
            <w:hideMark/>
          </w:tcPr>
          <w:p w:rsidR="004B4774" w:rsidRPr="00BB3DC2" w:rsidRDefault="004B4774" w:rsidP="009A5A02">
            <w:pPr>
              <w:tabs>
                <w:tab w:val="clear" w:pos="284"/>
              </w:tabs>
              <w:spacing w:line="240" w:lineRule="auto"/>
              <w:rPr>
                <w:rFonts w:eastAsia="Times New Roman" w:cstheme="minorHAnsi"/>
                <w:color w:val="000000"/>
                <w:kern w:val="0"/>
                <w:lang w:eastAsia="en-GB"/>
              </w:rPr>
            </w:pPr>
            <w:r w:rsidRPr="00BB3DC2">
              <w:rPr>
                <w:rFonts w:eastAsia="Times New Roman" w:cstheme="minorHAnsi"/>
                <w:color w:val="000000"/>
                <w:kern w:val="0"/>
                <w:lang w:eastAsia="en-GB"/>
              </w:rPr>
              <w:t>Unemployed</w:t>
            </w:r>
          </w:p>
        </w:tc>
        <w:tc>
          <w:tcPr>
            <w:tcW w:w="1560" w:type="dxa"/>
            <w:shd w:val="clear" w:color="auto" w:fill="auto"/>
            <w:noWrap/>
            <w:vAlign w:val="bottom"/>
            <w:hideMark/>
          </w:tcPr>
          <w:p w:rsidR="004B4774" w:rsidRPr="00BB3DC2" w:rsidRDefault="004B4774" w:rsidP="009A5A02">
            <w:pPr>
              <w:tabs>
                <w:tab w:val="clear" w:pos="284"/>
              </w:tabs>
              <w:spacing w:line="240" w:lineRule="auto"/>
              <w:jc w:val="right"/>
              <w:rPr>
                <w:rFonts w:eastAsia="Times New Roman" w:cstheme="minorHAnsi"/>
                <w:color w:val="000000"/>
                <w:kern w:val="0"/>
                <w:lang w:eastAsia="en-GB"/>
              </w:rPr>
            </w:pPr>
            <w:r w:rsidRPr="00F322B8">
              <w:rPr>
                <w:rFonts w:cstheme="minorHAnsi"/>
                <w:color w:val="000000"/>
              </w:rPr>
              <w:t>2.7%</w:t>
            </w:r>
          </w:p>
        </w:tc>
        <w:tc>
          <w:tcPr>
            <w:tcW w:w="1275" w:type="dxa"/>
            <w:shd w:val="clear" w:color="auto" w:fill="auto"/>
            <w:noWrap/>
            <w:vAlign w:val="bottom"/>
            <w:hideMark/>
          </w:tcPr>
          <w:p w:rsidR="004B4774" w:rsidRPr="00BB3DC2" w:rsidRDefault="004B4774" w:rsidP="009A5A02">
            <w:pPr>
              <w:tabs>
                <w:tab w:val="clear" w:pos="284"/>
              </w:tabs>
              <w:spacing w:line="240" w:lineRule="auto"/>
              <w:jc w:val="right"/>
              <w:rPr>
                <w:rFonts w:eastAsia="Times New Roman" w:cstheme="minorHAnsi"/>
                <w:color w:val="000000"/>
                <w:kern w:val="0"/>
                <w:lang w:eastAsia="en-GB"/>
              </w:rPr>
            </w:pPr>
            <w:r w:rsidRPr="00F322B8">
              <w:rPr>
                <w:rFonts w:cstheme="minorHAnsi"/>
                <w:color w:val="000000"/>
              </w:rPr>
              <w:t>2.8%</w:t>
            </w:r>
          </w:p>
        </w:tc>
        <w:tc>
          <w:tcPr>
            <w:tcW w:w="1276" w:type="dxa"/>
            <w:vAlign w:val="bottom"/>
          </w:tcPr>
          <w:p w:rsidR="004B4774" w:rsidRPr="00F322B8" w:rsidRDefault="004B4774" w:rsidP="009A5A02">
            <w:pPr>
              <w:tabs>
                <w:tab w:val="clear" w:pos="284"/>
              </w:tabs>
              <w:spacing w:line="240" w:lineRule="auto"/>
              <w:jc w:val="right"/>
              <w:rPr>
                <w:rFonts w:eastAsia="Times New Roman" w:cstheme="minorHAnsi"/>
                <w:color w:val="000000"/>
                <w:kern w:val="0"/>
                <w:lang w:eastAsia="en-GB"/>
              </w:rPr>
            </w:pPr>
            <w:r w:rsidRPr="00F322B8">
              <w:rPr>
                <w:rFonts w:cstheme="minorHAnsi"/>
                <w:color w:val="000000"/>
              </w:rPr>
              <w:t>4.4%</w:t>
            </w:r>
          </w:p>
        </w:tc>
      </w:tr>
      <w:tr w:rsidR="004B4774" w:rsidRPr="00BB3DC2" w:rsidTr="009A5A02">
        <w:trPr>
          <w:trHeight w:val="288"/>
        </w:trPr>
        <w:tc>
          <w:tcPr>
            <w:tcW w:w="1985" w:type="dxa"/>
            <w:shd w:val="clear" w:color="auto" w:fill="D9D9D9" w:themeFill="background2" w:themeFillShade="D9"/>
            <w:noWrap/>
            <w:vAlign w:val="bottom"/>
            <w:hideMark/>
          </w:tcPr>
          <w:p w:rsidR="004B4774" w:rsidRPr="00BB3DC2" w:rsidRDefault="004B4774" w:rsidP="009A5A02">
            <w:pPr>
              <w:tabs>
                <w:tab w:val="clear" w:pos="284"/>
              </w:tabs>
              <w:spacing w:line="240" w:lineRule="auto"/>
              <w:rPr>
                <w:rFonts w:eastAsia="Times New Roman" w:cstheme="minorHAnsi"/>
                <w:color w:val="000000"/>
                <w:kern w:val="0"/>
                <w:lang w:eastAsia="en-GB"/>
              </w:rPr>
            </w:pPr>
          </w:p>
        </w:tc>
        <w:tc>
          <w:tcPr>
            <w:tcW w:w="2551" w:type="dxa"/>
            <w:shd w:val="clear" w:color="auto" w:fill="D9D9D9" w:themeFill="background2" w:themeFillShade="D9"/>
            <w:noWrap/>
            <w:vAlign w:val="bottom"/>
            <w:hideMark/>
          </w:tcPr>
          <w:p w:rsidR="004B4774" w:rsidRPr="00BB3DC2" w:rsidRDefault="004B4774" w:rsidP="009A5A02">
            <w:pPr>
              <w:tabs>
                <w:tab w:val="clear" w:pos="284"/>
              </w:tabs>
              <w:spacing w:line="240" w:lineRule="auto"/>
              <w:rPr>
                <w:rFonts w:eastAsia="Times New Roman" w:cstheme="minorHAnsi"/>
                <w:color w:val="000000"/>
                <w:kern w:val="0"/>
                <w:lang w:eastAsia="en-GB"/>
              </w:rPr>
            </w:pPr>
            <w:r w:rsidRPr="00BB3DC2">
              <w:rPr>
                <w:rFonts w:eastAsia="Times New Roman" w:cstheme="minorHAnsi"/>
                <w:color w:val="000000"/>
                <w:kern w:val="0"/>
                <w:lang w:eastAsia="en-GB"/>
              </w:rPr>
              <w:t>Full-time student</w:t>
            </w:r>
          </w:p>
        </w:tc>
        <w:tc>
          <w:tcPr>
            <w:tcW w:w="1560" w:type="dxa"/>
            <w:shd w:val="clear" w:color="auto" w:fill="auto"/>
            <w:noWrap/>
            <w:vAlign w:val="bottom"/>
            <w:hideMark/>
          </w:tcPr>
          <w:p w:rsidR="004B4774" w:rsidRPr="00BB3DC2" w:rsidRDefault="004B4774" w:rsidP="009A5A02">
            <w:pPr>
              <w:tabs>
                <w:tab w:val="clear" w:pos="284"/>
              </w:tabs>
              <w:spacing w:line="240" w:lineRule="auto"/>
              <w:jc w:val="right"/>
              <w:rPr>
                <w:rFonts w:eastAsia="Times New Roman" w:cstheme="minorHAnsi"/>
                <w:color w:val="000000"/>
                <w:kern w:val="0"/>
                <w:lang w:eastAsia="en-GB"/>
              </w:rPr>
            </w:pPr>
            <w:r w:rsidRPr="00F322B8">
              <w:rPr>
                <w:rFonts w:cstheme="minorHAnsi"/>
                <w:color w:val="000000"/>
              </w:rPr>
              <w:t>1.6%</w:t>
            </w:r>
          </w:p>
        </w:tc>
        <w:tc>
          <w:tcPr>
            <w:tcW w:w="1275" w:type="dxa"/>
            <w:shd w:val="clear" w:color="auto" w:fill="auto"/>
            <w:noWrap/>
            <w:vAlign w:val="bottom"/>
            <w:hideMark/>
          </w:tcPr>
          <w:p w:rsidR="004B4774" w:rsidRPr="00BB3DC2" w:rsidRDefault="004B4774" w:rsidP="009A5A02">
            <w:pPr>
              <w:tabs>
                <w:tab w:val="clear" w:pos="284"/>
              </w:tabs>
              <w:spacing w:line="240" w:lineRule="auto"/>
              <w:jc w:val="right"/>
              <w:rPr>
                <w:rFonts w:eastAsia="Times New Roman" w:cstheme="minorHAnsi"/>
                <w:color w:val="000000"/>
                <w:kern w:val="0"/>
                <w:lang w:eastAsia="en-GB"/>
              </w:rPr>
            </w:pPr>
            <w:r w:rsidRPr="00F322B8">
              <w:rPr>
                <w:rFonts w:cstheme="minorHAnsi"/>
                <w:color w:val="000000"/>
              </w:rPr>
              <w:t>3.5%</w:t>
            </w:r>
          </w:p>
        </w:tc>
        <w:tc>
          <w:tcPr>
            <w:tcW w:w="1276" w:type="dxa"/>
            <w:vAlign w:val="bottom"/>
          </w:tcPr>
          <w:p w:rsidR="004B4774" w:rsidRPr="00F322B8" w:rsidRDefault="004B4774" w:rsidP="009A5A02">
            <w:pPr>
              <w:tabs>
                <w:tab w:val="clear" w:pos="284"/>
              </w:tabs>
              <w:spacing w:line="240" w:lineRule="auto"/>
              <w:jc w:val="right"/>
              <w:rPr>
                <w:rFonts w:eastAsia="Times New Roman" w:cstheme="minorHAnsi"/>
                <w:color w:val="000000"/>
                <w:kern w:val="0"/>
                <w:lang w:eastAsia="en-GB"/>
              </w:rPr>
            </w:pPr>
            <w:r w:rsidRPr="00F322B8">
              <w:rPr>
                <w:rFonts w:cstheme="minorHAnsi"/>
                <w:color w:val="000000"/>
              </w:rPr>
              <w:t>3.4%</w:t>
            </w:r>
          </w:p>
        </w:tc>
      </w:tr>
      <w:tr w:rsidR="004B4774" w:rsidRPr="00BB3DC2" w:rsidTr="009A5A02">
        <w:trPr>
          <w:trHeight w:val="288"/>
        </w:trPr>
        <w:tc>
          <w:tcPr>
            <w:tcW w:w="1985" w:type="dxa"/>
            <w:shd w:val="clear" w:color="auto" w:fill="D9D9D9" w:themeFill="background2" w:themeFillShade="D9"/>
            <w:noWrap/>
            <w:vAlign w:val="bottom"/>
            <w:hideMark/>
          </w:tcPr>
          <w:p w:rsidR="004B4774" w:rsidRPr="00BB3DC2" w:rsidRDefault="004B4774" w:rsidP="009A5A02">
            <w:pPr>
              <w:tabs>
                <w:tab w:val="clear" w:pos="284"/>
              </w:tabs>
              <w:spacing w:line="240" w:lineRule="auto"/>
              <w:rPr>
                <w:rFonts w:eastAsia="Times New Roman" w:cstheme="minorHAnsi"/>
                <w:color w:val="000000"/>
                <w:kern w:val="0"/>
                <w:lang w:eastAsia="en-GB"/>
              </w:rPr>
            </w:pPr>
            <w:r w:rsidRPr="00BB3DC2">
              <w:rPr>
                <w:rFonts w:eastAsia="Times New Roman" w:cstheme="minorHAnsi"/>
                <w:color w:val="000000"/>
                <w:kern w:val="0"/>
                <w:lang w:eastAsia="en-GB"/>
              </w:rPr>
              <w:t>Economically inactive</w:t>
            </w:r>
          </w:p>
        </w:tc>
        <w:tc>
          <w:tcPr>
            <w:tcW w:w="2551" w:type="dxa"/>
            <w:shd w:val="clear" w:color="auto" w:fill="D9D9D9" w:themeFill="background2" w:themeFillShade="D9"/>
            <w:noWrap/>
            <w:vAlign w:val="bottom"/>
            <w:hideMark/>
          </w:tcPr>
          <w:p w:rsidR="004B4774" w:rsidRPr="00BB3DC2" w:rsidRDefault="004B4774" w:rsidP="009A5A02">
            <w:pPr>
              <w:tabs>
                <w:tab w:val="clear" w:pos="284"/>
              </w:tabs>
              <w:spacing w:line="240" w:lineRule="auto"/>
              <w:rPr>
                <w:rFonts w:eastAsia="Times New Roman" w:cstheme="minorHAnsi"/>
                <w:color w:val="000000"/>
                <w:kern w:val="0"/>
                <w:lang w:eastAsia="en-GB"/>
              </w:rPr>
            </w:pPr>
            <w:r w:rsidRPr="00BB3DC2">
              <w:rPr>
                <w:rFonts w:eastAsia="Times New Roman" w:cstheme="minorHAnsi"/>
                <w:color w:val="000000"/>
                <w:kern w:val="0"/>
                <w:lang w:eastAsia="en-GB"/>
              </w:rPr>
              <w:t>Total</w:t>
            </w:r>
          </w:p>
        </w:tc>
        <w:tc>
          <w:tcPr>
            <w:tcW w:w="1560" w:type="dxa"/>
            <w:shd w:val="clear" w:color="auto" w:fill="auto"/>
            <w:noWrap/>
            <w:vAlign w:val="bottom"/>
            <w:hideMark/>
          </w:tcPr>
          <w:p w:rsidR="004B4774" w:rsidRPr="00BB3DC2" w:rsidRDefault="004B4774" w:rsidP="009A5A02">
            <w:pPr>
              <w:tabs>
                <w:tab w:val="clear" w:pos="284"/>
              </w:tabs>
              <w:spacing w:line="240" w:lineRule="auto"/>
              <w:jc w:val="right"/>
              <w:rPr>
                <w:rFonts w:eastAsia="Times New Roman" w:cstheme="minorHAnsi"/>
                <w:color w:val="000000"/>
                <w:kern w:val="0"/>
                <w:lang w:eastAsia="en-GB"/>
              </w:rPr>
            </w:pPr>
            <w:r w:rsidRPr="00F322B8">
              <w:rPr>
                <w:rFonts w:cstheme="minorHAnsi"/>
                <w:color w:val="000000"/>
              </w:rPr>
              <w:t>40.4%</w:t>
            </w:r>
          </w:p>
        </w:tc>
        <w:tc>
          <w:tcPr>
            <w:tcW w:w="1275" w:type="dxa"/>
            <w:shd w:val="clear" w:color="auto" w:fill="auto"/>
            <w:noWrap/>
            <w:vAlign w:val="bottom"/>
            <w:hideMark/>
          </w:tcPr>
          <w:p w:rsidR="004B4774" w:rsidRPr="00BB3DC2" w:rsidRDefault="004B4774" w:rsidP="009A5A02">
            <w:pPr>
              <w:tabs>
                <w:tab w:val="clear" w:pos="284"/>
              </w:tabs>
              <w:spacing w:line="240" w:lineRule="auto"/>
              <w:jc w:val="right"/>
              <w:rPr>
                <w:rFonts w:eastAsia="Times New Roman" w:cstheme="minorHAnsi"/>
                <w:color w:val="000000"/>
                <w:kern w:val="0"/>
                <w:lang w:eastAsia="en-GB"/>
              </w:rPr>
            </w:pPr>
            <w:r w:rsidRPr="00F322B8">
              <w:rPr>
                <w:rFonts w:cstheme="minorHAnsi"/>
                <w:color w:val="000000"/>
              </w:rPr>
              <w:t>30.8%</w:t>
            </w:r>
          </w:p>
        </w:tc>
        <w:tc>
          <w:tcPr>
            <w:tcW w:w="1276" w:type="dxa"/>
            <w:vAlign w:val="bottom"/>
          </w:tcPr>
          <w:p w:rsidR="004B4774" w:rsidRPr="00F322B8" w:rsidRDefault="004B4774" w:rsidP="009A5A02">
            <w:pPr>
              <w:tabs>
                <w:tab w:val="clear" w:pos="284"/>
              </w:tabs>
              <w:spacing w:line="240" w:lineRule="auto"/>
              <w:jc w:val="right"/>
              <w:rPr>
                <w:rFonts w:eastAsia="Times New Roman" w:cstheme="minorHAnsi"/>
                <w:color w:val="000000"/>
                <w:kern w:val="0"/>
                <w:lang w:eastAsia="en-GB"/>
              </w:rPr>
            </w:pPr>
            <w:r w:rsidRPr="00F322B8">
              <w:rPr>
                <w:rFonts w:cstheme="minorHAnsi"/>
                <w:color w:val="000000"/>
              </w:rPr>
              <w:t>30.1%</w:t>
            </w:r>
          </w:p>
        </w:tc>
      </w:tr>
      <w:tr w:rsidR="004B4774" w:rsidRPr="00BB3DC2" w:rsidTr="009A5A02">
        <w:trPr>
          <w:trHeight w:val="288"/>
        </w:trPr>
        <w:tc>
          <w:tcPr>
            <w:tcW w:w="1985" w:type="dxa"/>
            <w:shd w:val="clear" w:color="auto" w:fill="D9D9D9" w:themeFill="background2" w:themeFillShade="D9"/>
            <w:noWrap/>
            <w:vAlign w:val="bottom"/>
            <w:hideMark/>
          </w:tcPr>
          <w:p w:rsidR="004B4774" w:rsidRPr="00BB3DC2" w:rsidRDefault="004B4774" w:rsidP="009A5A02">
            <w:pPr>
              <w:tabs>
                <w:tab w:val="clear" w:pos="284"/>
              </w:tabs>
              <w:spacing w:line="240" w:lineRule="auto"/>
              <w:rPr>
                <w:rFonts w:eastAsia="Times New Roman" w:cstheme="minorHAnsi"/>
                <w:color w:val="000000"/>
                <w:kern w:val="0"/>
                <w:lang w:eastAsia="en-GB"/>
              </w:rPr>
            </w:pPr>
          </w:p>
        </w:tc>
        <w:tc>
          <w:tcPr>
            <w:tcW w:w="2551" w:type="dxa"/>
            <w:shd w:val="clear" w:color="auto" w:fill="D9D9D9" w:themeFill="background2" w:themeFillShade="D9"/>
            <w:noWrap/>
            <w:vAlign w:val="bottom"/>
            <w:hideMark/>
          </w:tcPr>
          <w:p w:rsidR="004B4774" w:rsidRPr="00BB3DC2" w:rsidRDefault="004B4774" w:rsidP="009A5A02">
            <w:pPr>
              <w:tabs>
                <w:tab w:val="clear" w:pos="284"/>
              </w:tabs>
              <w:spacing w:line="240" w:lineRule="auto"/>
              <w:rPr>
                <w:rFonts w:eastAsia="Times New Roman" w:cstheme="minorHAnsi"/>
                <w:color w:val="000000"/>
                <w:kern w:val="0"/>
                <w:lang w:eastAsia="en-GB"/>
              </w:rPr>
            </w:pPr>
            <w:r w:rsidRPr="00BB3DC2">
              <w:rPr>
                <w:rFonts w:eastAsia="Times New Roman" w:cstheme="minorHAnsi"/>
                <w:color w:val="000000"/>
                <w:kern w:val="0"/>
                <w:lang w:eastAsia="en-GB"/>
              </w:rPr>
              <w:t>Retired</w:t>
            </w:r>
          </w:p>
        </w:tc>
        <w:tc>
          <w:tcPr>
            <w:tcW w:w="1560" w:type="dxa"/>
            <w:shd w:val="clear" w:color="auto" w:fill="auto"/>
            <w:noWrap/>
            <w:vAlign w:val="bottom"/>
            <w:hideMark/>
          </w:tcPr>
          <w:p w:rsidR="004B4774" w:rsidRPr="00BB3DC2" w:rsidRDefault="004B4774" w:rsidP="009A5A02">
            <w:pPr>
              <w:tabs>
                <w:tab w:val="clear" w:pos="284"/>
              </w:tabs>
              <w:spacing w:line="240" w:lineRule="auto"/>
              <w:jc w:val="right"/>
              <w:rPr>
                <w:rFonts w:eastAsia="Times New Roman" w:cstheme="minorHAnsi"/>
                <w:color w:val="000000"/>
                <w:kern w:val="0"/>
                <w:lang w:eastAsia="en-GB"/>
              </w:rPr>
            </w:pPr>
            <w:r w:rsidRPr="00F322B8">
              <w:rPr>
                <w:rFonts w:cstheme="minorHAnsi"/>
                <w:color w:val="000000"/>
              </w:rPr>
              <w:t>29.8%</w:t>
            </w:r>
          </w:p>
        </w:tc>
        <w:tc>
          <w:tcPr>
            <w:tcW w:w="1275" w:type="dxa"/>
            <w:shd w:val="clear" w:color="auto" w:fill="auto"/>
            <w:noWrap/>
            <w:vAlign w:val="bottom"/>
            <w:hideMark/>
          </w:tcPr>
          <w:p w:rsidR="004B4774" w:rsidRPr="00BB3DC2" w:rsidRDefault="004B4774" w:rsidP="009A5A02">
            <w:pPr>
              <w:tabs>
                <w:tab w:val="clear" w:pos="284"/>
              </w:tabs>
              <w:spacing w:line="240" w:lineRule="auto"/>
              <w:jc w:val="right"/>
              <w:rPr>
                <w:rFonts w:eastAsia="Times New Roman" w:cstheme="minorHAnsi"/>
                <w:color w:val="000000"/>
                <w:kern w:val="0"/>
                <w:lang w:eastAsia="en-GB"/>
              </w:rPr>
            </w:pPr>
            <w:r w:rsidRPr="00F322B8">
              <w:rPr>
                <w:rFonts w:cstheme="minorHAnsi"/>
                <w:color w:val="000000"/>
              </w:rPr>
              <w:t>18.2%</w:t>
            </w:r>
          </w:p>
        </w:tc>
        <w:tc>
          <w:tcPr>
            <w:tcW w:w="1276" w:type="dxa"/>
            <w:vAlign w:val="bottom"/>
          </w:tcPr>
          <w:p w:rsidR="004B4774" w:rsidRPr="00F322B8" w:rsidRDefault="004B4774" w:rsidP="009A5A02">
            <w:pPr>
              <w:tabs>
                <w:tab w:val="clear" w:pos="284"/>
              </w:tabs>
              <w:spacing w:line="240" w:lineRule="auto"/>
              <w:jc w:val="right"/>
              <w:rPr>
                <w:rFonts w:eastAsia="Times New Roman" w:cstheme="minorHAnsi"/>
                <w:color w:val="000000"/>
                <w:kern w:val="0"/>
                <w:lang w:eastAsia="en-GB"/>
              </w:rPr>
            </w:pPr>
            <w:r w:rsidRPr="00F322B8">
              <w:rPr>
                <w:rFonts w:cstheme="minorHAnsi"/>
                <w:color w:val="000000"/>
              </w:rPr>
              <w:t>13.7%</w:t>
            </w:r>
          </w:p>
        </w:tc>
      </w:tr>
      <w:tr w:rsidR="004B4774" w:rsidRPr="00BB3DC2" w:rsidTr="009A5A02">
        <w:trPr>
          <w:trHeight w:val="288"/>
        </w:trPr>
        <w:tc>
          <w:tcPr>
            <w:tcW w:w="1985" w:type="dxa"/>
            <w:shd w:val="clear" w:color="auto" w:fill="D9D9D9" w:themeFill="background2" w:themeFillShade="D9"/>
            <w:noWrap/>
            <w:vAlign w:val="bottom"/>
            <w:hideMark/>
          </w:tcPr>
          <w:p w:rsidR="004B4774" w:rsidRPr="00BB3DC2" w:rsidRDefault="004B4774" w:rsidP="009A5A02">
            <w:pPr>
              <w:tabs>
                <w:tab w:val="clear" w:pos="284"/>
              </w:tabs>
              <w:spacing w:line="240" w:lineRule="auto"/>
              <w:rPr>
                <w:rFonts w:eastAsia="Times New Roman" w:cstheme="minorHAnsi"/>
                <w:color w:val="000000"/>
                <w:kern w:val="0"/>
                <w:lang w:eastAsia="en-GB"/>
              </w:rPr>
            </w:pPr>
          </w:p>
        </w:tc>
        <w:tc>
          <w:tcPr>
            <w:tcW w:w="2551" w:type="dxa"/>
            <w:shd w:val="clear" w:color="auto" w:fill="D9D9D9" w:themeFill="background2" w:themeFillShade="D9"/>
            <w:noWrap/>
            <w:vAlign w:val="bottom"/>
            <w:hideMark/>
          </w:tcPr>
          <w:p w:rsidR="004B4774" w:rsidRPr="00BB3DC2" w:rsidRDefault="004B4774" w:rsidP="009A5A02">
            <w:pPr>
              <w:tabs>
                <w:tab w:val="clear" w:pos="284"/>
              </w:tabs>
              <w:spacing w:line="240" w:lineRule="auto"/>
              <w:rPr>
                <w:rFonts w:eastAsia="Times New Roman" w:cstheme="minorHAnsi"/>
                <w:color w:val="000000"/>
                <w:kern w:val="0"/>
                <w:lang w:eastAsia="en-GB"/>
              </w:rPr>
            </w:pPr>
            <w:r w:rsidRPr="00BB3DC2">
              <w:rPr>
                <w:rFonts w:eastAsia="Times New Roman" w:cstheme="minorHAnsi"/>
                <w:color w:val="000000"/>
                <w:kern w:val="0"/>
                <w:lang w:eastAsia="en-GB"/>
              </w:rPr>
              <w:t>Student</w:t>
            </w:r>
          </w:p>
        </w:tc>
        <w:tc>
          <w:tcPr>
            <w:tcW w:w="1560" w:type="dxa"/>
            <w:shd w:val="clear" w:color="auto" w:fill="auto"/>
            <w:noWrap/>
            <w:vAlign w:val="bottom"/>
            <w:hideMark/>
          </w:tcPr>
          <w:p w:rsidR="004B4774" w:rsidRPr="00BB3DC2" w:rsidRDefault="004B4774" w:rsidP="009A5A02">
            <w:pPr>
              <w:tabs>
                <w:tab w:val="clear" w:pos="284"/>
              </w:tabs>
              <w:spacing w:line="240" w:lineRule="auto"/>
              <w:jc w:val="right"/>
              <w:rPr>
                <w:rFonts w:eastAsia="Times New Roman" w:cstheme="minorHAnsi"/>
                <w:color w:val="000000"/>
                <w:kern w:val="0"/>
                <w:lang w:eastAsia="en-GB"/>
              </w:rPr>
            </w:pPr>
            <w:r w:rsidRPr="00F322B8">
              <w:rPr>
                <w:rFonts w:cstheme="minorHAnsi"/>
                <w:color w:val="000000"/>
              </w:rPr>
              <w:t>2.2%</w:t>
            </w:r>
          </w:p>
        </w:tc>
        <w:tc>
          <w:tcPr>
            <w:tcW w:w="1275" w:type="dxa"/>
            <w:shd w:val="clear" w:color="auto" w:fill="auto"/>
            <w:noWrap/>
            <w:vAlign w:val="bottom"/>
            <w:hideMark/>
          </w:tcPr>
          <w:p w:rsidR="004B4774" w:rsidRPr="00BB3DC2" w:rsidRDefault="004B4774" w:rsidP="009A5A02">
            <w:pPr>
              <w:tabs>
                <w:tab w:val="clear" w:pos="284"/>
              </w:tabs>
              <w:spacing w:line="240" w:lineRule="auto"/>
              <w:jc w:val="right"/>
              <w:rPr>
                <w:rFonts w:eastAsia="Times New Roman" w:cstheme="minorHAnsi"/>
                <w:color w:val="000000"/>
                <w:kern w:val="0"/>
                <w:lang w:eastAsia="en-GB"/>
              </w:rPr>
            </w:pPr>
            <w:r w:rsidRPr="00F322B8">
              <w:rPr>
                <w:rFonts w:cstheme="minorHAnsi"/>
                <w:color w:val="000000"/>
              </w:rPr>
              <w:t>4.4%</w:t>
            </w:r>
          </w:p>
        </w:tc>
        <w:tc>
          <w:tcPr>
            <w:tcW w:w="1276" w:type="dxa"/>
            <w:vAlign w:val="bottom"/>
          </w:tcPr>
          <w:p w:rsidR="004B4774" w:rsidRPr="00F322B8" w:rsidRDefault="004B4774" w:rsidP="009A5A02">
            <w:pPr>
              <w:tabs>
                <w:tab w:val="clear" w:pos="284"/>
              </w:tabs>
              <w:spacing w:line="240" w:lineRule="auto"/>
              <w:jc w:val="right"/>
              <w:rPr>
                <w:rFonts w:eastAsia="Times New Roman" w:cstheme="minorHAnsi"/>
                <w:color w:val="000000"/>
                <w:kern w:val="0"/>
                <w:lang w:eastAsia="en-GB"/>
              </w:rPr>
            </w:pPr>
            <w:r w:rsidRPr="00F322B8">
              <w:rPr>
                <w:rFonts w:cstheme="minorHAnsi"/>
                <w:color w:val="000000"/>
              </w:rPr>
              <w:t>5.8%</w:t>
            </w:r>
          </w:p>
        </w:tc>
      </w:tr>
      <w:tr w:rsidR="004B4774" w:rsidRPr="00BB3DC2" w:rsidTr="009A5A02">
        <w:trPr>
          <w:trHeight w:val="288"/>
        </w:trPr>
        <w:tc>
          <w:tcPr>
            <w:tcW w:w="1985" w:type="dxa"/>
            <w:shd w:val="clear" w:color="auto" w:fill="D9D9D9" w:themeFill="background2" w:themeFillShade="D9"/>
            <w:noWrap/>
            <w:vAlign w:val="bottom"/>
            <w:hideMark/>
          </w:tcPr>
          <w:p w:rsidR="004B4774" w:rsidRPr="00BB3DC2" w:rsidRDefault="004B4774" w:rsidP="009A5A02">
            <w:pPr>
              <w:tabs>
                <w:tab w:val="clear" w:pos="284"/>
              </w:tabs>
              <w:spacing w:line="240" w:lineRule="auto"/>
              <w:rPr>
                <w:rFonts w:eastAsia="Times New Roman" w:cstheme="minorHAnsi"/>
                <w:color w:val="000000"/>
                <w:kern w:val="0"/>
                <w:lang w:eastAsia="en-GB"/>
              </w:rPr>
            </w:pPr>
          </w:p>
        </w:tc>
        <w:tc>
          <w:tcPr>
            <w:tcW w:w="2551" w:type="dxa"/>
            <w:shd w:val="clear" w:color="auto" w:fill="D9D9D9" w:themeFill="background2" w:themeFillShade="D9"/>
            <w:noWrap/>
            <w:vAlign w:val="bottom"/>
            <w:hideMark/>
          </w:tcPr>
          <w:p w:rsidR="004B4774" w:rsidRPr="00BB3DC2" w:rsidRDefault="004B4774" w:rsidP="009A5A02">
            <w:pPr>
              <w:tabs>
                <w:tab w:val="clear" w:pos="284"/>
              </w:tabs>
              <w:spacing w:line="240" w:lineRule="auto"/>
              <w:rPr>
                <w:rFonts w:eastAsia="Times New Roman" w:cstheme="minorHAnsi"/>
                <w:color w:val="000000"/>
                <w:kern w:val="0"/>
                <w:lang w:eastAsia="en-GB"/>
              </w:rPr>
            </w:pPr>
            <w:r w:rsidRPr="00BB3DC2">
              <w:rPr>
                <w:rFonts w:eastAsia="Times New Roman" w:cstheme="minorHAnsi"/>
                <w:color w:val="000000"/>
                <w:kern w:val="0"/>
                <w:lang w:eastAsia="en-GB"/>
              </w:rPr>
              <w:t>Looking after home or family</w:t>
            </w:r>
          </w:p>
        </w:tc>
        <w:tc>
          <w:tcPr>
            <w:tcW w:w="1560" w:type="dxa"/>
            <w:shd w:val="clear" w:color="auto" w:fill="auto"/>
            <w:noWrap/>
            <w:vAlign w:val="bottom"/>
            <w:hideMark/>
          </w:tcPr>
          <w:p w:rsidR="004B4774" w:rsidRPr="00BB3DC2" w:rsidRDefault="004B4774" w:rsidP="009A5A02">
            <w:pPr>
              <w:tabs>
                <w:tab w:val="clear" w:pos="284"/>
              </w:tabs>
              <w:spacing w:line="240" w:lineRule="auto"/>
              <w:jc w:val="right"/>
              <w:rPr>
                <w:rFonts w:eastAsia="Times New Roman" w:cstheme="minorHAnsi"/>
                <w:color w:val="000000"/>
                <w:kern w:val="0"/>
                <w:lang w:eastAsia="en-GB"/>
              </w:rPr>
            </w:pPr>
            <w:r w:rsidRPr="00F322B8">
              <w:rPr>
                <w:rFonts w:cstheme="minorHAnsi"/>
                <w:color w:val="000000"/>
              </w:rPr>
              <w:t>4.3%</w:t>
            </w:r>
          </w:p>
        </w:tc>
        <w:tc>
          <w:tcPr>
            <w:tcW w:w="1275" w:type="dxa"/>
            <w:shd w:val="clear" w:color="auto" w:fill="auto"/>
            <w:noWrap/>
            <w:vAlign w:val="bottom"/>
            <w:hideMark/>
          </w:tcPr>
          <w:p w:rsidR="004B4774" w:rsidRPr="00BB3DC2" w:rsidRDefault="004B4774" w:rsidP="009A5A02">
            <w:pPr>
              <w:tabs>
                <w:tab w:val="clear" w:pos="284"/>
              </w:tabs>
              <w:spacing w:line="240" w:lineRule="auto"/>
              <w:jc w:val="right"/>
              <w:rPr>
                <w:rFonts w:eastAsia="Times New Roman" w:cstheme="minorHAnsi"/>
                <w:color w:val="000000"/>
                <w:kern w:val="0"/>
                <w:lang w:eastAsia="en-GB"/>
              </w:rPr>
            </w:pPr>
            <w:r w:rsidRPr="00F322B8">
              <w:rPr>
                <w:rFonts w:cstheme="minorHAnsi"/>
                <w:color w:val="000000"/>
              </w:rPr>
              <w:t>4.2%</w:t>
            </w:r>
          </w:p>
        </w:tc>
        <w:tc>
          <w:tcPr>
            <w:tcW w:w="1276" w:type="dxa"/>
            <w:vAlign w:val="bottom"/>
          </w:tcPr>
          <w:p w:rsidR="004B4774" w:rsidRPr="00F322B8" w:rsidRDefault="004B4774" w:rsidP="009A5A02">
            <w:pPr>
              <w:tabs>
                <w:tab w:val="clear" w:pos="284"/>
              </w:tabs>
              <w:spacing w:line="240" w:lineRule="auto"/>
              <w:jc w:val="right"/>
              <w:rPr>
                <w:rFonts w:eastAsia="Times New Roman" w:cstheme="minorHAnsi"/>
                <w:color w:val="000000"/>
                <w:kern w:val="0"/>
                <w:lang w:eastAsia="en-GB"/>
              </w:rPr>
            </w:pPr>
            <w:r w:rsidRPr="00F322B8">
              <w:rPr>
                <w:rFonts w:cstheme="minorHAnsi"/>
                <w:color w:val="000000"/>
              </w:rPr>
              <w:t>4.4%</w:t>
            </w:r>
          </w:p>
        </w:tc>
      </w:tr>
      <w:tr w:rsidR="004B4774" w:rsidRPr="00BB3DC2" w:rsidTr="009A5A02">
        <w:trPr>
          <w:trHeight w:val="288"/>
        </w:trPr>
        <w:tc>
          <w:tcPr>
            <w:tcW w:w="1985" w:type="dxa"/>
            <w:shd w:val="clear" w:color="auto" w:fill="D9D9D9" w:themeFill="background2" w:themeFillShade="D9"/>
            <w:noWrap/>
            <w:vAlign w:val="bottom"/>
            <w:hideMark/>
          </w:tcPr>
          <w:p w:rsidR="004B4774" w:rsidRPr="00BB3DC2" w:rsidRDefault="004B4774" w:rsidP="009A5A02">
            <w:pPr>
              <w:tabs>
                <w:tab w:val="clear" w:pos="284"/>
              </w:tabs>
              <w:spacing w:line="240" w:lineRule="auto"/>
              <w:rPr>
                <w:rFonts w:eastAsia="Times New Roman" w:cstheme="minorHAnsi"/>
                <w:color w:val="000000"/>
                <w:kern w:val="0"/>
                <w:lang w:eastAsia="en-GB"/>
              </w:rPr>
            </w:pPr>
          </w:p>
        </w:tc>
        <w:tc>
          <w:tcPr>
            <w:tcW w:w="2551" w:type="dxa"/>
            <w:shd w:val="clear" w:color="auto" w:fill="D9D9D9" w:themeFill="background2" w:themeFillShade="D9"/>
            <w:noWrap/>
            <w:vAlign w:val="bottom"/>
            <w:hideMark/>
          </w:tcPr>
          <w:p w:rsidR="004B4774" w:rsidRPr="00BB3DC2" w:rsidRDefault="004B4774" w:rsidP="009A5A02">
            <w:pPr>
              <w:tabs>
                <w:tab w:val="clear" w:pos="284"/>
              </w:tabs>
              <w:spacing w:line="240" w:lineRule="auto"/>
              <w:rPr>
                <w:rFonts w:eastAsia="Times New Roman" w:cstheme="minorHAnsi"/>
                <w:color w:val="000000"/>
                <w:kern w:val="0"/>
                <w:lang w:eastAsia="en-GB"/>
              </w:rPr>
            </w:pPr>
            <w:r w:rsidRPr="00BB3DC2">
              <w:rPr>
                <w:rFonts w:eastAsia="Times New Roman" w:cstheme="minorHAnsi"/>
                <w:color w:val="000000"/>
                <w:kern w:val="0"/>
                <w:lang w:eastAsia="en-GB"/>
              </w:rPr>
              <w:t>Long-term sick or disabled</w:t>
            </w:r>
          </w:p>
        </w:tc>
        <w:tc>
          <w:tcPr>
            <w:tcW w:w="1560" w:type="dxa"/>
            <w:shd w:val="clear" w:color="auto" w:fill="auto"/>
            <w:noWrap/>
            <w:vAlign w:val="bottom"/>
            <w:hideMark/>
          </w:tcPr>
          <w:p w:rsidR="004B4774" w:rsidRPr="00BB3DC2" w:rsidRDefault="004B4774" w:rsidP="009A5A02">
            <w:pPr>
              <w:tabs>
                <w:tab w:val="clear" w:pos="284"/>
              </w:tabs>
              <w:spacing w:line="240" w:lineRule="auto"/>
              <w:jc w:val="right"/>
              <w:rPr>
                <w:rFonts w:eastAsia="Times New Roman" w:cstheme="minorHAnsi"/>
                <w:color w:val="000000"/>
                <w:kern w:val="0"/>
                <w:lang w:eastAsia="en-GB"/>
              </w:rPr>
            </w:pPr>
            <w:r w:rsidRPr="00F322B8">
              <w:rPr>
                <w:rFonts w:cstheme="minorHAnsi"/>
                <w:color w:val="000000"/>
              </w:rPr>
              <w:t>2.2%</w:t>
            </w:r>
          </w:p>
        </w:tc>
        <w:tc>
          <w:tcPr>
            <w:tcW w:w="1275" w:type="dxa"/>
            <w:shd w:val="clear" w:color="auto" w:fill="auto"/>
            <w:noWrap/>
            <w:vAlign w:val="bottom"/>
            <w:hideMark/>
          </w:tcPr>
          <w:p w:rsidR="004B4774" w:rsidRPr="00BB3DC2" w:rsidRDefault="004B4774" w:rsidP="009A5A02">
            <w:pPr>
              <w:tabs>
                <w:tab w:val="clear" w:pos="284"/>
              </w:tabs>
              <w:spacing w:line="240" w:lineRule="auto"/>
              <w:jc w:val="right"/>
              <w:rPr>
                <w:rFonts w:eastAsia="Times New Roman" w:cstheme="minorHAnsi"/>
                <w:color w:val="000000"/>
                <w:kern w:val="0"/>
                <w:lang w:eastAsia="en-GB"/>
              </w:rPr>
            </w:pPr>
            <w:r w:rsidRPr="00F322B8">
              <w:rPr>
                <w:rFonts w:cstheme="minorHAnsi"/>
                <w:color w:val="000000"/>
              </w:rPr>
              <w:t>2.4%</w:t>
            </w:r>
          </w:p>
        </w:tc>
        <w:tc>
          <w:tcPr>
            <w:tcW w:w="1276" w:type="dxa"/>
            <w:vAlign w:val="bottom"/>
          </w:tcPr>
          <w:p w:rsidR="004B4774" w:rsidRPr="00F322B8" w:rsidRDefault="004B4774" w:rsidP="009A5A02">
            <w:pPr>
              <w:tabs>
                <w:tab w:val="clear" w:pos="284"/>
              </w:tabs>
              <w:spacing w:line="240" w:lineRule="auto"/>
              <w:jc w:val="right"/>
              <w:rPr>
                <w:rFonts w:eastAsia="Times New Roman" w:cstheme="minorHAnsi"/>
                <w:color w:val="000000"/>
                <w:kern w:val="0"/>
                <w:lang w:eastAsia="en-GB"/>
              </w:rPr>
            </w:pPr>
            <w:r w:rsidRPr="00F322B8">
              <w:rPr>
                <w:rFonts w:cstheme="minorHAnsi"/>
                <w:color w:val="000000"/>
              </w:rPr>
              <w:t>4.1%</w:t>
            </w:r>
          </w:p>
        </w:tc>
      </w:tr>
      <w:tr w:rsidR="004B4774" w:rsidRPr="00BB3DC2" w:rsidTr="009A5A02">
        <w:trPr>
          <w:trHeight w:val="288"/>
        </w:trPr>
        <w:tc>
          <w:tcPr>
            <w:tcW w:w="1985" w:type="dxa"/>
            <w:shd w:val="clear" w:color="auto" w:fill="D9D9D9" w:themeFill="background2" w:themeFillShade="D9"/>
            <w:noWrap/>
            <w:vAlign w:val="bottom"/>
            <w:hideMark/>
          </w:tcPr>
          <w:p w:rsidR="004B4774" w:rsidRPr="00BB3DC2" w:rsidRDefault="004B4774" w:rsidP="009A5A02">
            <w:pPr>
              <w:tabs>
                <w:tab w:val="clear" w:pos="284"/>
              </w:tabs>
              <w:spacing w:line="240" w:lineRule="auto"/>
              <w:rPr>
                <w:rFonts w:eastAsia="Times New Roman" w:cstheme="minorHAnsi"/>
                <w:color w:val="000000"/>
                <w:kern w:val="0"/>
                <w:lang w:eastAsia="en-GB"/>
              </w:rPr>
            </w:pPr>
          </w:p>
        </w:tc>
        <w:tc>
          <w:tcPr>
            <w:tcW w:w="2551" w:type="dxa"/>
            <w:shd w:val="clear" w:color="auto" w:fill="D9D9D9" w:themeFill="background2" w:themeFillShade="D9"/>
            <w:noWrap/>
            <w:vAlign w:val="bottom"/>
            <w:hideMark/>
          </w:tcPr>
          <w:p w:rsidR="004B4774" w:rsidRPr="00BB3DC2" w:rsidRDefault="004B4774" w:rsidP="009A5A02">
            <w:pPr>
              <w:tabs>
                <w:tab w:val="clear" w:pos="284"/>
              </w:tabs>
              <w:spacing w:line="240" w:lineRule="auto"/>
              <w:rPr>
                <w:rFonts w:eastAsia="Times New Roman" w:cstheme="minorHAnsi"/>
                <w:color w:val="000000"/>
                <w:kern w:val="0"/>
                <w:lang w:eastAsia="en-GB"/>
              </w:rPr>
            </w:pPr>
            <w:r w:rsidRPr="00BB3DC2">
              <w:rPr>
                <w:rFonts w:eastAsia="Times New Roman" w:cstheme="minorHAnsi"/>
                <w:color w:val="000000"/>
                <w:kern w:val="0"/>
                <w:lang w:eastAsia="en-GB"/>
              </w:rPr>
              <w:t>Other</w:t>
            </w:r>
          </w:p>
        </w:tc>
        <w:tc>
          <w:tcPr>
            <w:tcW w:w="1560" w:type="dxa"/>
            <w:shd w:val="clear" w:color="auto" w:fill="auto"/>
            <w:noWrap/>
            <w:vAlign w:val="bottom"/>
            <w:hideMark/>
          </w:tcPr>
          <w:p w:rsidR="004B4774" w:rsidRPr="00BB3DC2" w:rsidRDefault="004B4774" w:rsidP="009A5A02">
            <w:pPr>
              <w:tabs>
                <w:tab w:val="clear" w:pos="284"/>
              </w:tabs>
              <w:spacing w:line="240" w:lineRule="auto"/>
              <w:jc w:val="right"/>
              <w:rPr>
                <w:rFonts w:eastAsia="Times New Roman" w:cstheme="minorHAnsi"/>
                <w:color w:val="000000"/>
                <w:kern w:val="0"/>
                <w:lang w:eastAsia="en-GB"/>
              </w:rPr>
            </w:pPr>
            <w:r w:rsidRPr="00F322B8">
              <w:rPr>
                <w:rFonts w:cstheme="minorHAnsi"/>
                <w:color w:val="000000"/>
              </w:rPr>
              <w:t>1.9%</w:t>
            </w:r>
          </w:p>
        </w:tc>
        <w:tc>
          <w:tcPr>
            <w:tcW w:w="1275" w:type="dxa"/>
            <w:shd w:val="clear" w:color="auto" w:fill="auto"/>
            <w:noWrap/>
            <w:vAlign w:val="bottom"/>
            <w:hideMark/>
          </w:tcPr>
          <w:p w:rsidR="004B4774" w:rsidRPr="00BB3DC2" w:rsidRDefault="004B4774" w:rsidP="009A5A02">
            <w:pPr>
              <w:tabs>
                <w:tab w:val="clear" w:pos="284"/>
              </w:tabs>
              <w:spacing w:line="240" w:lineRule="auto"/>
              <w:jc w:val="right"/>
              <w:rPr>
                <w:rFonts w:eastAsia="Times New Roman" w:cstheme="minorHAnsi"/>
                <w:color w:val="000000"/>
                <w:kern w:val="0"/>
                <w:lang w:eastAsia="en-GB"/>
              </w:rPr>
            </w:pPr>
            <w:r w:rsidRPr="00F322B8">
              <w:rPr>
                <w:rFonts w:cstheme="minorHAnsi"/>
                <w:color w:val="000000"/>
              </w:rPr>
              <w:t>1.5%</w:t>
            </w:r>
          </w:p>
        </w:tc>
        <w:tc>
          <w:tcPr>
            <w:tcW w:w="1276" w:type="dxa"/>
            <w:vAlign w:val="bottom"/>
          </w:tcPr>
          <w:p w:rsidR="004B4774" w:rsidRPr="00F322B8" w:rsidRDefault="004B4774" w:rsidP="009A5A02">
            <w:pPr>
              <w:tabs>
                <w:tab w:val="clear" w:pos="284"/>
              </w:tabs>
              <w:spacing w:line="240" w:lineRule="auto"/>
              <w:jc w:val="right"/>
              <w:rPr>
                <w:rFonts w:eastAsia="Times New Roman" w:cstheme="minorHAnsi"/>
                <w:color w:val="000000"/>
                <w:kern w:val="0"/>
                <w:lang w:eastAsia="en-GB"/>
              </w:rPr>
            </w:pPr>
            <w:r w:rsidRPr="00F322B8">
              <w:rPr>
                <w:rFonts w:cstheme="minorHAnsi"/>
                <w:color w:val="000000"/>
              </w:rPr>
              <w:t>2.2%</w:t>
            </w:r>
          </w:p>
        </w:tc>
      </w:tr>
    </w:tbl>
    <w:p w:rsidR="004B4774" w:rsidRDefault="004B4774" w:rsidP="004B4774">
      <w:pPr>
        <w:pStyle w:val="Source"/>
      </w:pPr>
      <w:r w:rsidRPr="007552D4">
        <w:t xml:space="preserve">Source: ONS Census 2011, AECOM </w:t>
      </w:r>
      <w:r w:rsidR="001157B7">
        <w:t>c</w:t>
      </w:r>
      <w:r w:rsidRPr="007552D4">
        <w:t>alculations</w:t>
      </w:r>
      <w:bookmarkStart w:id="155" w:name="_Ref495415072"/>
      <w:r w:rsidRPr="000774A9">
        <w:t xml:space="preserve"> </w:t>
      </w:r>
    </w:p>
    <w:p w:rsidR="004B4774" w:rsidRPr="00BE2D52" w:rsidRDefault="00B25544" w:rsidP="004B4774">
      <w:pPr>
        <w:pStyle w:val="ListNumber"/>
      </w:pPr>
      <w:r>
        <w:rPr>
          <w:lang w:val="en-US"/>
        </w:rPr>
        <w:fldChar w:fldCharType="begin"/>
      </w:r>
      <w:r>
        <w:rPr>
          <w:lang w:val="en-US"/>
        </w:rPr>
        <w:instrText xml:space="preserve"> REF _Ref504465279 \h </w:instrText>
      </w:r>
      <w:r>
        <w:rPr>
          <w:lang w:val="en-US"/>
        </w:rPr>
      </w:r>
      <w:r>
        <w:rPr>
          <w:lang w:val="en-US"/>
        </w:rPr>
        <w:fldChar w:fldCharType="separate"/>
      </w:r>
      <w:r>
        <w:t xml:space="preserve">Table </w:t>
      </w:r>
      <w:r>
        <w:rPr>
          <w:noProof/>
        </w:rPr>
        <w:t>21</w:t>
      </w:r>
      <w:r>
        <w:rPr>
          <w:lang w:val="en-US"/>
        </w:rPr>
        <w:fldChar w:fldCharType="end"/>
      </w:r>
      <w:r w:rsidR="004B4774">
        <w:rPr>
          <w:lang w:val="en-US"/>
        </w:rPr>
        <w:t xml:space="preserve"> shows that </w:t>
      </w:r>
      <w:r w:rsidR="004B4774">
        <w:t xml:space="preserve">the average distance travelled to work by the West Wittering residents is comparatively high (24.1km). </w:t>
      </w:r>
      <w:proofErr w:type="spellStart"/>
      <w:r w:rsidR="004B4774">
        <w:rPr>
          <w:lang w:val="en-US"/>
        </w:rPr>
        <w:t>Chichester</w:t>
      </w:r>
      <w:proofErr w:type="spellEnd"/>
      <w:r w:rsidR="004B4774">
        <w:rPr>
          <w:lang w:val="en-US"/>
        </w:rPr>
        <w:t xml:space="preserve"> City currently provides a broad range of employment and it is assumed there are strong links between West </w:t>
      </w:r>
      <w:proofErr w:type="spellStart"/>
      <w:r w:rsidR="004B4774">
        <w:rPr>
          <w:lang w:val="en-US"/>
        </w:rPr>
        <w:t>Wittering</w:t>
      </w:r>
      <w:proofErr w:type="spellEnd"/>
      <w:r w:rsidR="004B4774">
        <w:rPr>
          <w:lang w:val="en-US"/>
        </w:rPr>
        <w:t xml:space="preserve"> and </w:t>
      </w:r>
      <w:proofErr w:type="spellStart"/>
      <w:r w:rsidR="004B4774">
        <w:rPr>
          <w:lang w:val="en-US"/>
        </w:rPr>
        <w:t>Chichester</w:t>
      </w:r>
      <w:proofErr w:type="spellEnd"/>
      <w:r w:rsidR="004B4774">
        <w:rPr>
          <w:lang w:val="en-US"/>
        </w:rPr>
        <w:t xml:space="preserve"> in terms of employment as West </w:t>
      </w:r>
      <w:proofErr w:type="spellStart"/>
      <w:r w:rsidR="004B4774">
        <w:rPr>
          <w:lang w:val="en-US"/>
        </w:rPr>
        <w:t>Wittering</w:t>
      </w:r>
      <w:proofErr w:type="spellEnd"/>
      <w:r w:rsidR="004B4774">
        <w:rPr>
          <w:lang w:val="en-US"/>
        </w:rPr>
        <w:t xml:space="preserve"> is located within </w:t>
      </w:r>
      <w:proofErr w:type="spellStart"/>
      <w:r w:rsidR="004B4774" w:rsidRPr="0031672C">
        <w:rPr>
          <w:lang w:val="en-US"/>
        </w:rPr>
        <w:t>Chichester</w:t>
      </w:r>
      <w:proofErr w:type="spellEnd"/>
      <w:r w:rsidR="004B4774" w:rsidRPr="0031672C">
        <w:rPr>
          <w:lang w:val="en-US"/>
        </w:rPr>
        <w:t xml:space="preserve"> and </w:t>
      </w:r>
      <w:proofErr w:type="spellStart"/>
      <w:r w:rsidR="004B4774" w:rsidRPr="0031672C">
        <w:rPr>
          <w:lang w:val="en-US"/>
        </w:rPr>
        <w:t>Bognor</w:t>
      </w:r>
      <w:proofErr w:type="spellEnd"/>
      <w:r w:rsidR="004B4774" w:rsidRPr="0031672C">
        <w:rPr>
          <w:lang w:val="en-US"/>
        </w:rPr>
        <w:t xml:space="preserve"> Regis</w:t>
      </w:r>
      <w:r w:rsidR="004B4774">
        <w:rPr>
          <w:lang w:val="en-US"/>
        </w:rPr>
        <w:t xml:space="preserve"> Travel </w:t>
      </w:r>
      <w:proofErr w:type="gramStart"/>
      <w:r w:rsidR="004B4774">
        <w:rPr>
          <w:lang w:val="en-US"/>
        </w:rPr>
        <w:t>To</w:t>
      </w:r>
      <w:proofErr w:type="gramEnd"/>
      <w:r w:rsidR="004B4774">
        <w:rPr>
          <w:lang w:val="en-US"/>
        </w:rPr>
        <w:t xml:space="preserve"> Work Area (TTWA). Moreover, the table</w:t>
      </w:r>
      <w:r w:rsidR="004B4774" w:rsidRPr="001409C2">
        <w:rPr>
          <w:lang w:val="en-US"/>
        </w:rPr>
        <w:t xml:space="preserve"> shows that </w:t>
      </w:r>
      <w:r w:rsidR="004B4774">
        <w:t xml:space="preserve">a significant proportion of the economically active residents in West Wittering work mainly at or from home (22.5%). </w:t>
      </w:r>
    </w:p>
    <w:p w:rsidR="004B4774" w:rsidRPr="007552D4" w:rsidRDefault="004B4774" w:rsidP="004B4774">
      <w:pPr>
        <w:pStyle w:val="Caption"/>
      </w:pPr>
      <w:bookmarkStart w:id="156" w:name="_Ref504465279"/>
      <w:bookmarkStart w:id="157" w:name="_Toc495920051"/>
      <w:r>
        <w:t xml:space="preserve">Table </w:t>
      </w:r>
      <w:fldSimple w:instr=" SEQ Table \* ARABIC ">
        <w:r w:rsidR="00B25544">
          <w:rPr>
            <w:noProof/>
          </w:rPr>
          <w:t>21</w:t>
        </w:r>
      </w:fldSimple>
      <w:bookmarkEnd w:id="155"/>
      <w:bookmarkEnd w:id="156"/>
      <w:r>
        <w:t>: Distance to work</w:t>
      </w:r>
      <w:r w:rsidRPr="009712F1">
        <w:t>, 2011</w:t>
      </w:r>
      <w:bookmarkEnd w:id="157"/>
    </w:p>
    <w:tbl>
      <w:tblPr>
        <w:tblW w:w="8662" w:type="dxa"/>
        <w:tblInd w:w="93" w:type="dxa"/>
        <w:tblLook w:val="04A0" w:firstRow="1" w:lastRow="0" w:firstColumn="1" w:lastColumn="0" w:noHBand="0" w:noVBand="1"/>
      </w:tblPr>
      <w:tblGrid>
        <w:gridCol w:w="2992"/>
        <w:gridCol w:w="1985"/>
        <w:gridCol w:w="1842"/>
        <w:gridCol w:w="1843"/>
      </w:tblGrid>
      <w:tr w:rsidR="004B4774" w:rsidRPr="003471D1" w:rsidTr="009A5A02">
        <w:trPr>
          <w:trHeight w:val="288"/>
        </w:trPr>
        <w:tc>
          <w:tcPr>
            <w:tcW w:w="2992" w:type="dxa"/>
            <w:tcBorders>
              <w:top w:val="nil"/>
              <w:left w:val="single" w:sz="4" w:space="0" w:color="auto"/>
              <w:bottom w:val="single" w:sz="4" w:space="0" w:color="auto"/>
              <w:right w:val="single" w:sz="4" w:space="0" w:color="auto"/>
            </w:tcBorders>
            <w:shd w:val="clear" w:color="auto" w:fill="000000" w:themeFill="text1"/>
            <w:noWrap/>
            <w:vAlign w:val="bottom"/>
            <w:hideMark/>
          </w:tcPr>
          <w:p w:rsidR="004B4774" w:rsidRPr="003904B9" w:rsidRDefault="004B4774" w:rsidP="009A5A02">
            <w:pPr>
              <w:spacing w:line="240" w:lineRule="auto"/>
              <w:jc w:val="center"/>
              <w:rPr>
                <w:rFonts w:ascii="Arial" w:eastAsia="Times New Roman" w:hAnsi="Arial" w:cs="Arial"/>
                <w:iCs/>
                <w:color w:val="FFFFFF" w:themeColor="background1"/>
                <w:lang w:eastAsia="en-GB"/>
              </w:rPr>
            </w:pPr>
            <w:r w:rsidRPr="003904B9">
              <w:rPr>
                <w:rFonts w:ascii="Arial" w:eastAsia="Times New Roman" w:hAnsi="Arial" w:cs="Arial"/>
                <w:iCs/>
                <w:color w:val="FFFFFF" w:themeColor="background1"/>
                <w:lang w:eastAsia="en-GB"/>
              </w:rPr>
              <w:t>Location of work</w:t>
            </w:r>
          </w:p>
        </w:tc>
        <w:tc>
          <w:tcPr>
            <w:tcW w:w="1985" w:type="dxa"/>
            <w:tcBorders>
              <w:top w:val="nil"/>
              <w:left w:val="nil"/>
              <w:bottom w:val="single" w:sz="4" w:space="0" w:color="auto"/>
              <w:right w:val="single" w:sz="4" w:space="0" w:color="auto"/>
            </w:tcBorders>
            <w:shd w:val="clear" w:color="auto" w:fill="000000" w:themeFill="text1"/>
            <w:noWrap/>
            <w:vAlign w:val="bottom"/>
            <w:hideMark/>
          </w:tcPr>
          <w:p w:rsidR="004B4774" w:rsidRPr="003904B9" w:rsidRDefault="004B4774" w:rsidP="009A5A02">
            <w:pPr>
              <w:spacing w:line="240" w:lineRule="auto"/>
              <w:jc w:val="center"/>
              <w:rPr>
                <w:rFonts w:ascii="Arial" w:eastAsia="Times New Roman" w:hAnsi="Arial" w:cs="Arial"/>
                <w:iCs/>
                <w:color w:val="FFFFFF" w:themeColor="background1"/>
                <w:lang w:eastAsia="en-GB"/>
              </w:rPr>
            </w:pPr>
            <w:r w:rsidRPr="003904B9">
              <w:rPr>
                <w:rFonts w:ascii="Arial" w:eastAsia="Times New Roman" w:hAnsi="Arial" w:cs="Arial"/>
                <w:iCs/>
                <w:color w:val="FFFFFF" w:themeColor="background1"/>
                <w:lang w:eastAsia="en-GB"/>
              </w:rPr>
              <w:t>West Wittering</w:t>
            </w:r>
          </w:p>
        </w:tc>
        <w:tc>
          <w:tcPr>
            <w:tcW w:w="1842" w:type="dxa"/>
            <w:tcBorders>
              <w:top w:val="nil"/>
              <w:left w:val="nil"/>
              <w:bottom w:val="single" w:sz="4" w:space="0" w:color="auto"/>
              <w:right w:val="single" w:sz="4" w:space="0" w:color="auto"/>
            </w:tcBorders>
            <w:shd w:val="clear" w:color="auto" w:fill="000000" w:themeFill="text1"/>
            <w:noWrap/>
            <w:vAlign w:val="bottom"/>
            <w:hideMark/>
          </w:tcPr>
          <w:p w:rsidR="004B4774" w:rsidRPr="003904B9" w:rsidRDefault="004B4774" w:rsidP="009A5A02">
            <w:pPr>
              <w:spacing w:line="240" w:lineRule="auto"/>
              <w:jc w:val="center"/>
              <w:rPr>
                <w:rFonts w:ascii="Arial" w:eastAsia="Times New Roman" w:hAnsi="Arial" w:cs="Arial"/>
                <w:iCs/>
                <w:color w:val="FFFFFF" w:themeColor="background1"/>
                <w:lang w:eastAsia="en-GB"/>
              </w:rPr>
            </w:pPr>
            <w:r w:rsidRPr="003904B9">
              <w:rPr>
                <w:color w:val="FFFFFF" w:themeColor="background1"/>
              </w:rPr>
              <w:t>Chichester</w:t>
            </w:r>
          </w:p>
        </w:tc>
        <w:tc>
          <w:tcPr>
            <w:tcW w:w="1843" w:type="dxa"/>
            <w:tcBorders>
              <w:top w:val="nil"/>
              <w:left w:val="nil"/>
              <w:bottom w:val="single" w:sz="4" w:space="0" w:color="auto"/>
              <w:right w:val="single" w:sz="4" w:space="0" w:color="auto"/>
            </w:tcBorders>
            <w:shd w:val="clear" w:color="auto" w:fill="000000" w:themeFill="text1"/>
            <w:noWrap/>
            <w:vAlign w:val="bottom"/>
            <w:hideMark/>
          </w:tcPr>
          <w:p w:rsidR="004B4774" w:rsidRPr="003904B9" w:rsidRDefault="004B4774" w:rsidP="009A5A02">
            <w:pPr>
              <w:spacing w:line="240" w:lineRule="auto"/>
              <w:jc w:val="center"/>
              <w:rPr>
                <w:rFonts w:ascii="Arial" w:eastAsia="Times New Roman" w:hAnsi="Arial" w:cs="Arial"/>
                <w:iCs/>
                <w:color w:val="FFFFFF" w:themeColor="background1"/>
                <w:lang w:eastAsia="en-GB"/>
              </w:rPr>
            </w:pPr>
            <w:r w:rsidRPr="003904B9">
              <w:rPr>
                <w:color w:val="FFFFFF" w:themeColor="background1"/>
              </w:rPr>
              <w:t>England</w:t>
            </w:r>
          </w:p>
        </w:tc>
      </w:tr>
      <w:tr w:rsidR="004B4774" w:rsidRPr="003471D1" w:rsidTr="009A5A02">
        <w:trPr>
          <w:trHeight w:val="288"/>
        </w:trPr>
        <w:tc>
          <w:tcPr>
            <w:tcW w:w="2992" w:type="dxa"/>
            <w:tcBorders>
              <w:top w:val="nil"/>
              <w:left w:val="single" w:sz="4" w:space="0" w:color="auto"/>
              <w:bottom w:val="single" w:sz="4" w:space="0" w:color="auto"/>
              <w:right w:val="single" w:sz="4" w:space="0" w:color="auto"/>
            </w:tcBorders>
            <w:shd w:val="clear" w:color="000000" w:fill="BFBFBF"/>
            <w:noWrap/>
            <w:vAlign w:val="bottom"/>
            <w:hideMark/>
          </w:tcPr>
          <w:p w:rsidR="004B4774" w:rsidRPr="003471D1" w:rsidRDefault="004B4774" w:rsidP="009A5A02">
            <w:pPr>
              <w:spacing w:line="240" w:lineRule="auto"/>
              <w:rPr>
                <w:rFonts w:ascii="Arial" w:eastAsia="Times New Roman" w:hAnsi="Arial" w:cs="Arial"/>
                <w:color w:val="000000"/>
                <w:lang w:eastAsia="en-GB"/>
              </w:rPr>
            </w:pPr>
            <w:r>
              <w:rPr>
                <w:rFonts w:ascii="Arial" w:hAnsi="Arial" w:cs="Arial"/>
                <w:color w:val="000000"/>
              </w:rPr>
              <w:t>Less than 10km</w:t>
            </w:r>
          </w:p>
        </w:tc>
        <w:tc>
          <w:tcPr>
            <w:tcW w:w="1985" w:type="dxa"/>
            <w:tcBorders>
              <w:top w:val="nil"/>
              <w:left w:val="nil"/>
              <w:bottom w:val="single" w:sz="4" w:space="0" w:color="auto"/>
              <w:right w:val="single" w:sz="4" w:space="0" w:color="auto"/>
            </w:tcBorders>
            <w:shd w:val="clear" w:color="auto" w:fill="auto"/>
            <w:noWrap/>
            <w:vAlign w:val="bottom"/>
            <w:hideMark/>
          </w:tcPr>
          <w:p w:rsidR="004B4774" w:rsidRPr="00FC77CF" w:rsidRDefault="004B4774" w:rsidP="009A5A02">
            <w:pPr>
              <w:spacing w:line="240" w:lineRule="auto"/>
              <w:jc w:val="right"/>
              <w:rPr>
                <w:rFonts w:eastAsia="Times New Roman" w:cstheme="minorHAnsi"/>
                <w:color w:val="000000"/>
                <w:lang w:eastAsia="en-GB"/>
              </w:rPr>
            </w:pPr>
            <w:r>
              <w:rPr>
                <w:rFonts w:ascii="Arial" w:hAnsi="Arial" w:cs="Arial"/>
                <w:color w:val="000000"/>
              </w:rPr>
              <w:t>32.6%</w:t>
            </w:r>
          </w:p>
        </w:tc>
        <w:tc>
          <w:tcPr>
            <w:tcW w:w="1842" w:type="dxa"/>
            <w:tcBorders>
              <w:top w:val="nil"/>
              <w:left w:val="nil"/>
              <w:bottom w:val="single" w:sz="4" w:space="0" w:color="auto"/>
              <w:right w:val="single" w:sz="4" w:space="0" w:color="auto"/>
            </w:tcBorders>
            <w:shd w:val="clear" w:color="auto" w:fill="auto"/>
            <w:noWrap/>
            <w:vAlign w:val="bottom"/>
            <w:hideMark/>
          </w:tcPr>
          <w:p w:rsidR="004B4774" w:rsidRPr="00FC77CF" w:rsidRDefault="004B4774" w:rsidP="009A5A02">
            <w:pPr>
              <w:spacing w:line="240" w:lineRule="auto"/>
              <w:jc w:val="right"/>
              <w:rPr>
                <w:rFonts w:eastAsia="Times New Roman" w:cstheme="minorHAnsi"/>
                <w:color w:val="000000"/>
                <w:lang w:eastAsia="en-GB"/>
              </w:rPr>
            </w:pPr>
            <w:r>
              <w:rPr>
                <w:rFonts w:ascii="Arial" w:hAnsi="Arial" w:cs="Arial"/>
                <w:color w:val="000000"/>
              </w:rPr>
              <w:t>41.1%</w:t>
            </w:r>
          </w:p>
        </w:tc>
        <w:tc>
          <w:tcPr>
            <w:tcW w:w="1843" w:type="dxa"/>
            <w:tcBorders>
              <w:top w:val="nil"/>
              <w:left w:val="nil"/>
              <w:bottom w:val="single" w:sz="4" w:space="0" w:color="auto"/>
              <w:right w:val="single" w:sz="4" w:space="0" w:color="auto"/>
            </w:tcBorders>
            <w:shd w:val="clear" w:color="auto" w:fill="auto"/>
            <w:noWrap/>
            <w:vAlign w:val="bottom"/>
            <w:hideMark/>
          </w:tcPr>
          <w:p w:rsidR="004B4774" w:rsidRPr="00FC77CF" w:rsidRDefault="004B4774" w:rsidP="009A5A02">
            <w:pPr>
              <w:spacing w:line="240" w:lineRule="auto"/>
              <w:jc w:val="right"/>
              <w:rPr>
                <w:rFonts w:eastAsia="Times New Roman" w:cstheme="minorHAnsi"/>
                <w:color w:val="000000"/>
                <w:lang w:eastAsia="en-GB"/>
              </w:rPr>
            </w:pPr>
            <w:r>
              <w:rPr>
                <w:rFonts w:ascii="Arial" w:hAnsi="Arial" w:cs="Arial"/>
                <w:color w:val="000000"/>
              </w:rPr>
              <w:t>52.3%</w:t>
            </w:r>
          </w:p>
        </w:tc>
      </w:tr>
      <w:tr w:rsidR="004B4774" w:rsidRPr="003471D1" w:rsidTr="009A5A02">
        <w:trPr>
          <w:trHeight w:val="288"/>
        </w:trPr>
        <w:tc>
          <w:tcPr>
            <w:tcW w:w="2992" w:type="dxa"/>
            <w:tcBorders>
              <w:top w:val="nil"/>
              <w:left w:val="single" w:sz="4" w:space="0" w:color="auto"/>
              <w:bottom w:val="single" w:sz="4" w:space="0" w:color="auto"/>
              <w:right w:val="single" w:sz="4" w:space="0" w:color="auto"/>
            </w:tcBorders>
            <w:shd w:val="clear" w:color="000000" w:fill="BFBFBF"/>
            <w:noWrap/>
            <w:vAlign w:val="bottom"/>
            <w:hideMark/>
          </w:tcPr>
          <w:p w:rsidR="004B4774" w:rsidRPr="003471D1" w:rsidRDefault="004B4774" w:rsidP="009A5A02">
            <w:pPr>
              <w:spacing w:line="240" w:lineRule="auto"/>
              <w:rPr>
                <w:rFonts w:ascii="Arial" w:eastAsia="Times New Roman" w:hAnsi="Arial" w:cs="Arial"/>
                <w:color w:val="000000"/>
                <w:lang w:eastAsia="en-GB"/>
              </w:rPr>
            </w:pPr>
            <w:r>
              <w:rPr>
                <w:rFonts w:ascii="Arial" w:hAnsi="Arial" w:cs="Arial"/>
                <w:color w:val="000000"/>
              </w:rPr>
              <w:t>10km to less than 30km</w:t>
            </w:r>
          </w:p>
        </w:tc>
        <w:tc>
          <w:tcPr>
            <w:tcW w:w="1985" w:type="dxa"/>
            <w:tcBorders>
              <w:top w:val="nil"/>
              <w:left w:val="nil"/>
              <w:bottom w:val="single" w:sz="4" w:space="0" w:color="auto"/>
              <w:right w:val="single" w:sz="4" w:space="0" w:color="auto"/>
            </w:tcBorders>
            <w:shd w:val="clear" w:color="auto" w:fill="auto"/>
            <w:noWrap/>
            <w:vAlign w:val="bottom"/>
            <w:hideMark/>
          </w:tcPr>
          <w:p w:rsidR="004B4774" w:rsidRPr="00FC77CF" w:rsidRDefault="004B4774" w:rsidP="009A5A02">
            <w:pPr>
              <w:spacing w:line="240" w:lineRule="auto"/>
              <w:jc w:val="right"/>
              <w:rPr>
                <w:rFonts w:eastAsia="Times New Roman" w:cstheme="minorHAnsi"/>
                <w:color w:val="000000"/>
                <w:lang w:eastAsia="en-GB"/>
              </w:rPr>
            </w:pPr>
            <w:r>
              <w:rPr>
                <w:rFonts w:ascii="Arial" w:hAnsi="Arial" w:cs="Arial"/>
                <w:color w:val="000000"/>
              </w:rPr>
              <w:t>19.6%</w:t>
            </w:r>
          </w:p>
        </w:tc>
        <w:tc>
          <w:tcPr>
            <w:tcW w:w="1842" w:type="dxa"/>
            <w:tcBorders>
              <w:top w:val="nil"/>
              <w:left w:val="nil"/>
              <w:bottom w:val="single" w:sz="4" w:space="0" w:color="auto"/>
              <w:right w:val="single" w:sz="4" w:space="0" w:color="auto"/>
            </w:tcBorders>
            <w:shd w:val="clear" w:color="auto" w:fill="auto"/>
            <w:noWrap/>
            <w:vAlign w:val="bottom"/>
            <w:hideMark/>
          </w:tcPr>
          <w:p w:rsidR="004B4774" w:rsidRPr="00FC77CF" w:rsidRDefault="004B4774" w:rsidP="009A5A02">
            <w:pPr>
              <w:spacing w:line="240" w:lineRule="auto"/>
              <w:jc w:val="right"/>
              <w:rPr>
                <w:rFonts w:eastAsia="Times New Roman" w:cstheme="minorHAnsi"/>
                <w:color w:val="000000"/>
                <w:lang w:eastAsia="en-GB"/>
              </w:rPr>
            </w:pPr>
            <w:r>
              <w:rPr>
                <w:rFonts w:ascii="Arial" w:hAnsi="Arial" w:cs="Arial"/>
                <w:color w:val="000000"/>
              </w:rPr>
              <w:t>20.7%</w:t>
            </w:r>
          </w:p>
        </w:tc>
        <w:tc>
          <w:tcPr>
            <w:tcW w:w="1843" w:type="dxa"/>
            <w:tcBorders>
              <w:top w:val="nil"/>
              <w:left w:val="nil"/>
              <w:bottom w:val="single" w:sz="4" w:space="0" w:color="auto"/>
              <w:right w:val="single" w:sz="4" w:space="0" w:color="auto"/>
            </w:tcBorders>
            <w:shd w:val="clear" w:color="auto" w:fill="auto"/>
            <w:noWrap/>
            <w:vAlign w:val="bottom"/>
            <w:hideMark/>
          </w:tcPr>
          <w:p w:rsidR="004B4774" w:rsidRPr="00FC77CF" w:rsidRDefault="004B4774" w:rsidP="009A5A02">
            <w:pPr>
              <w:spacing w:line="240" w:lineRule="auto"/>
              <w:jc w:val="right"/>
              <w:rPr>
                <w:rFonts w:eastAsia="Times New Roman" w:cstheme="minorHAnsi"/>
                <w:color w:val="000000"/>
                <w:lang w:eastAsia="en-GB"/>
              </w:rPr>
            </w:pPr>
            <w:r>
              <w:rPr>
                <w:rFonts w:ascii="Arial" w:hAnsi="Arial" w:cs="Arial"/>
                <w:color w:val="000000"/>
              </w:rPr>
              <w:t>21.0%</w:t>
            </w:r>
          </w:p>
        </w:tc>
      </w:tr>
      <w:tr w:rsidR="004B4774" w:rsidRPr="003471D1" w:rsidTr="009A5A02">
        <w:trPr>
          <w:trHeight w:val="288"/>
        </w:trPr>
        <w:tc>
          <w:tcPr>
            <w:tcW w:w="2992" w:type="dxa"/>
            <w:tcBorders>
              <w:top w:val="nil"/>
              <w:left w:val="single" w:sz="4" w:space="0" w:color="auto"/>
              <w:bottom w:val="single" w:sz="4" w:space="0" w:color="auto"/>
              <w:right w:val="single" w:sz="4" w:space="0" w:color="auto"/>
            </w:tcBorders>
            <w:shd w:val="clear" w:color="000000" w:fill="BFBFBF"/>
            <w:noWrap/>
            <w:vAlign w:val="bottom"/>
            <w:hideMark/>
          </w:tcPr>
          <w:p w:rsidR="004B4774" w:rsidRPr="003471D1" w:rsidRDefault="004B4774" w:rsidP="009A5A02">
            <w:pPr>
              <w:spacing w:line="240" w:lineRule="auto"/>
              <w:rPr>
                <w:rFonts w:ascii="Arial" w:eastAsia="Times New Roman" w:hAnsi="Arial" w:cs="Arial"/>
                <w:color w:val="000000"/>
                <w:lang w:eastAsia="en-GB"/>
              </w:rPr>
            </w:pPr>
            <w:r>
              <w:rPr>
                <w:rFonts w:ascii="Arial" w:hAnsi="Arial" w:cs="Arial"/>
                <w:color w:val="000000"/>
              </w:rPr>
              <w:t>30km and over</w:t>
            </w:r>
          </w:p>
        </w:tc>
        <w:tc>
          <w:tcPr>
            <w:tcW w:w="1985" w:type="dxa"/>
            <w:tcBorders>
              <w:top w:val="nil"/>
              <w:left w:val="nil"/>
              <w:bottom w:val="single" w:sz="4" w:space="0" w:color="auto"/>
              <w:right w:val="single" w:sz="4" w:space="0" w:color="auto"/>
            </w:tcBorders>
            <w:shd w:val="clear" w:color="auto" w:fill="auto"/>
            <w:noWrap/>
            <w:vAlign w:val="bottom"/>
            <w:hideMark/>
          </w:tcPr>
          <w:p w:rsidR="004B4774" w:rsidRPr="00FC77CF" w:rsidRDefault="004B4774" w:rsidP="009A5A02">
            <w:pPr>
              <w:spacing w:line="240" w:lineRule="auto"/>
              <w:jc w:val="right"/>
              <w:rPr>
                <w:rFonts w:eastAsia="Times New Roman" w:cstheme="minorHAnsi"/>
                <w:color w:val="000000"/>
                <w:lang w:eastAsia="en-GB"/>
              </w:rPr>
            </w:pPr>
            <w:r>
              <w:rPr>
                <w:rFonts w:ascii="Arial" w:hAnsi="Arial" w:cs="Arial"/>
                <w:color w:val="000000"/>
              </w:rPr>
              <w:t>12.9%</w:t>
            </w:r>
          </w:p>
        </w:tc>
        <w:tc>
          <w:tcPr>
            <w:tcW w:w="1842" w:type="dxa"/>
            <w:tcBorders>
              <w:top w:val="nil"/>
              <w:left w:val="nil"/>
              <w:bottom w:val="single" w:sz="4" w:space="0" w:color="auto"/>
              <w:right w:val="single" w:sz="4" w:space="0" w:color="auto"/>
            </w:tcBorders>
            <w:shd w:val="clear" w:color="auto" w:fill="auto"/>
            <w:noWrap/>
            <w:vAlign w:val="bottom"/>
            <w:hideMark/>
          </w:tcPr>
          <w:p w:rsidR="004B4774" w:rsidRPr="00FC77CF" w:rsidRDefault="004B4774" w:rsidP="009A5A02">
            <w:pPr>
              <w:spacing w:line="240" w:lineRule="auto"/>
              <w:jc w:val="right"/>
              <w:rPr>
                <w:rFonts w:eastAsia="Times New Roman" w:cstheme="minorHAnsi"/>
                <w:color w:val="000000"/>
                <w:lang w:eastAsia="en-GB"/>
              </w:rPr>
            </w:pPr>
            <w:r>
              <w:rPr>
                <w:rFonts w:ascii="Arial" w:hAnsi="Arial" w:cs="Arial"/>
                <w:color w:val="000000"/>
              </w:rPr>
              <w:t>12.0%</w:t>
            </w:r>
          </w:p>
        </w:tc>
        <w:tc>
          <w:tcPr>
            <w:tcW w:w="1843" w:type="dxa"/>
            <w:tcBorders>
              <w:top w:val="nil"/>
              <w:left w:val="nil"/>
              <w:bottom w:val="single" w:sz="4" w:space="0" w:color="auto"/>
              <w:right w:val="single" w:sz="4" w:space="0" w:color="auto"/>
            </w:tcBorders>
            <w:shd w:val="clear" w:color="auto" w:fill="auto"/>
            <w:noWrap/>
            <w:vAlign w:val="bottom"/>
            <w:hideMark/>
          </w:tcPr>
          <w:p w:rsidR="004B4774" w:rsidRPr="00FC77CF" w:rsidRDefault="004B4774" w:rsidP="009A5A02">
            <w:pPr>
              <w:spacing w:line="240" w:lineRule="auto"/>
              <w:jc w:val="right"/>
              <w:rPr>
                <w:rFonts w:eastAsia="Times New Roman" w:cstheme="minorHAnsi"/>
                <w:color w:val="000000"/>
                <w:lang w:eastAsia="en-GB"/>
              </w:rPr>
            </w:pPr>
            <w:r>
              <w:rPr>
                <w:rFonts w:ascii="Arial" w:hAnsi="Arial" w:cs="Arial"/>
                <w:color w:val="000000"/>
              </w:rPr>
              <w:t>8.0%</w:t>
            </w:r>
          </w:p>
        </w:tc>
      </w:tr>
      <w:tr w:rsidR="004B4774" w:rsidRPr="003471D1" w:rsidTr="009A5A02">
        <w:trPr>
          <w:trHeight w:val="288"/>
        </w:trPr>
        <w:tc>
          <w:tcPr>
            <w:tcW w:w="2992" w:type="dxa"/>
            <w:tcBorders>
              <w:top w:val="nil"/>
              <w:left w:val="single" w:sz="4" w:space="0" w:color="auto"/>
              <w:bottom w:val="single" w:sz="4" w:space="0" w:color="auto"/>
              <w:right w:val="single" w:sz="4" w:space="0" w:color="auto"/>
            </w:tcBorders>
            <w:shd w:val="clear" w:color="000000" w:fill="BFBFBF"/>
            <w:noWrap/>
            <w:vAlign w:val="bottom"/>
            <w:hideMark/>
          </w:tcPr>
          <w:p w:rsidR="004B4774" w:rsidRPr="003471D1" w:rsidRDefault="004B4774" w:rsidP="009A5A02">
            <w:pPr>
              <w:spacing w:line="240" w:lineRule="auto"/>
              <w:rPr>
                <w:rFonts w:ascii="Arial" w:eastAsia="Times New Roman" w:hAnsi="Arial" w:cs="Arial"/>
                <w:color w:val="000000"/>
                <w:lang w:eastAsia="en-GB"/>
              </w:rPr>
            </w:pPr>
            <w:r>
              <w:rPr>
                <w:rFonts w:ascii="Arial" w:hAnsi="Arial" w:cs="Arial"/>
                <w:color w:val="000000"/>
              </w:rPr>
              <w:t>Work mainly at or from home</w:t>
            </w:r>
          </w:p>
        </w:tc>
        <w:tc>
          <w:tcPr>
            <w:tcW w:w="1985" w:type="dxa"/>
            <w:tcBorders>
              <w:top w:val="nil"/>
              <w:left w:val="nil"/>
              <w:bottom w:val="single" w:sz="4" w:space="0" w:color="auto"/>
              <w:right w:val="single" w:sz="4" w:space="0" w:color="auto"/>
            </w:tcBorders>
            <w:shd w:val="clear" w:color="auto" w:fill="auto"/>
            <w:noWrap/>
            <w:vAlign w:val="bottom"/>
            <w:hideMark/>
          </w:tcPr>
          <w:p w:rsidR="004B4774" w:rsidRPr="00FC77CF" w:rsidRDefault="004B4774" w:rsidP="009A5A02">
            <w:pPr>
              <w:spacing w:line="240" w:lineRule="auto"/>
              <w:jc w:val="right"/>
              <w:rPr>
                <w:rFonts w:eastAsia="Times New Roman" w:cstheme="minorHAnsi"/>
                <w:color w:val="000000"/>
                <w:lang w:eastAsia="en-GB"/>
              </w:rPr>
            </w:pPr>
            <w:r>
              <w:rPr>
                <w:rFonts w:ascii="Arial" w:hAnsi="Arial" w:cs="Arial"/>
                <w:color w:val="000000"/>
              </w:rPr>
              <w:t>22.5%</w:t>
            </w:r>
          </w:p>
        </w:tc>
        <w:tc>
          <w:tcPr>
            <w:tcW w:w="1842" w:type="dxa"/>
            <w:tcBorders>
              <w:top w:val="nil"/>
              <w:left w:val="nil"/>
              <w:bottom w:val="single" w:sz="4" w:space="0" w:color="auto"/>
              <w:right w:val="single" w:sz="4" w:space="0" w:color="auto"/>
            </w:tcBorders>
            <w:shd w:val="clear" w:color="auto" w:fill="auto"/>
            <w:noWrap/>
            <w:vAlign w:val="bottom"/>
            <w:hideMark/>
          </w:tcPr>
          <w:p w:rsidR="004B4774" w:rsidRPr="00FC77CF" w:rsidRDefault="004B4774" w:rsidP="009A5A02">
            <w:pPr>
              <w:spacing w:line="240" w:lineRule="auto"/>
              <w:jc w:val="right"/>
              <w:rPr>
                <w:rFonts w:eastAsia="Times New Roman" w:cstheme="minorHAnsi"/>
                <w:color w:val="000000"/>
                <w:lang w:eastAsia="en-GB"/>
              </w:rPr>
            </w:pPr>
            <w:r>
              <w:rPr>
                <w:rFonts w:ascii="Arial" w:hAnsi="Arial" w:cs="Arial"/>
                <w:color w:val="000000"/>
              </w:rPr>
              <w:t>16.4%</w:t>
            </w:r>
          </w:p>
        </w:tc>
        <w:tc>
          <w:tcPr>
            <w:tcW w:w="1843" w:type="dxa"/>
            <w:tcBorders>
              <w:top w:val="nil"/>
              <w:left w:val="nil"/>
              <w:bottom w:val="single" w:sz="4" w:space="0" w:color="auto"/>
              <w:right w:val="single" w:sz="4" w:space="0" w:color="auto"/>
            </w:tcBorders>
            <w:shd w:val="clear" w:color="auto" w:fill="auto"/>
            <w:noWrap/>
            <w:vAlign w:val="bottom"/>
            <w:hideMark/>
          </w:tcPr>
          <w:p w:rsidR="004B4774" w:rsidRPr="00FC77CF" w:rsidRDefault="004B4774" w:rsidP="009A5A02">
            <w:pPr>
              <w:spacing w:line="240" w:lineRule="auto"/>
              <w:jc w:val="right"/>
              <w:rPr>
                <w:rFonts w:eastAsia="Times New Roman" w:cstheme="minorHAnsi"/>
                <w:color w:val="000000"/>
                <w:lang w:eastAsia="en-GB"/>
              </w:rPr>
            </w:pPr>
            <w:r>
              <w:rPr>
                <w:rFonts w:ascii="Arial" w:hAnsi="Arial" w:cs="Arial"/>
                <w:color w:val="000000"/>
              </w:rPr>
              <w:t>10.3%</w:t>
            </w:r>
          </w:p>
        </w:tc>
      </w:tr>
      <w:tr w:rsidR="004B4774" w:rsidRPr="003471D1" w:rsidTr="009A5A02">
        <w:trPr>
          <w:trHeight w:val="288"/>
        </w:trPr>
        <w:tc>
          <w:tcPr>
            <w:tcW w:w="2992" w:type="dxa"/>
            <w:tcBorders>
              <w:top w:val="single" w:sz="4" w:space="0" w:color="auto"/>
              <w:left w:val="single" w:sz="4" w:space="0" w:color="auto"/>
              <w:bottom w:val="single" w:sz="4" w:space="0" w:color="auto"/>
              <w:right w:val="single" w:sz="4" w:space="0" w:color="auto"/>
            </w:tcBorders>
            <w:shd w:val="clear" w:color="000000" w:fill="BFBFBF"/>
            <w:noWrap/>
            <w:vAlign w:val="bottom"/>
          </w:tcPr>
          <w:p w:rsidR="004B4774" w:rsidRDefault="004B4774" w:rsidP="009A5A02">
            <w:pPr>
              <w:spacing w:line="240" w:lineRule="auto"/>
              <w:rPr>
                <w:rFonts w:ascii="Arial" w:hAnsi="Arial" w:cs="Arial"/>
                <w:color w:val="000000"/>
              </w:rPr>
            </w:pPr>
            <w:r>
              <w:rPr>
                <w:rFonts w:ascii="Arial" w:hAnsi="Arial" w:cs="Arial"/>
                <w:color w:val="000000"/>
              </w:rPr>
              <w:t>Other</w:t>
            </w:r>
          </w:p>
        </w:tc>
        <w:tc>
          <w:tcPr>
            <w:tcW w:w="1985" w:type="dxa"/>
            <w:tcBorders>
              <w:top w:val="single" w:sz="4" w:space="0" w:color="auto"/>
              <w:left w:val="nil"/>
              <w:bottom w:val="single" w:sz="4" w:space="0" w:color="auto"/>
              <w:right w:val="single" w:sz="4" w:space="0" w:color="auto"/>
            </w:tcBorders>
            <w:shd w:val="clear" w:color="auto" w:fill="auto"/>
            <w:noWrap/>
            <w:vAlign w:val="bottom"/>
          </w:tcPr>
          <w:p w:rsidR="004B4774" w:rsidRDefault="004B4774" w:rsidP="009A5A02">
            <w:pPr>
              <w:spacing w:line="240" w:lineRule="auto"/>
              <w:jc w:val="right"/>
              <w:rPr>
                <w:rFonts w:ascii="Arial" w:hAnsi="Arial" w:cs="Arial"/>
                <w:color w:val="000000"/>
              </w:rPr>
            </w:pPr>
            <w:r>
              <w:rPr>
                <w:rFonts w:ascii="Arial" w:hAnsi="Arial" w:cs="Arial"/>
                <w:color w:val="000000"/>
              </w:rPr>
              <w:t>12.4%</w:t>
            </w:r>
          </w:p>
        </w:tc>
        <w:tc>
          <w:tcPr>
            <w:tcW w:w="1842" w:type="dxa"/>
            <w:tcBorders>
              <w:top w:val="single" w:sz="4" w:space="0" w:color="auto"/>
              <w:left w:val="nil"/>
              <w:bottom w:val="single" w:sz="4" w:space="0" w:color="auto"/>
              <w:right w:val="single" w:sz="4" w:space="0" w:color="auto"/>
            </w:tcBorders>
            <w:shd w:val="clear" w:color="auto" w:fill="auto"/>
            <w:noWrap/>
            <w:vAlign w:val="bottom"/>
          </w:tcPr>
          <w:p w:rsidR="004B4774" w:rsidRDefault="004B4774" w:rsidP="009A5A02">
            <w:pPr>
              <w:spacing w:line="240" w:lineRule="auto"/>
              <w:jc w:val="right"/>
              <w:rPr>
                <w:rFonts w:ascii="Arial" w:hAnsi="Arial" w:cs="Arial"/>
                <w:color w:val="000000"/>
              </w:rPr>
            </w:pPr>
            <w:r>
              <w:rPr>
                <w:rFonts w:ascii="Arial" w:hAnsi="Arial" w:cs="Arial"/>
                <w:color w:val="000000"/>
              </w:rPr>
              <w:t>9.8%</w:t>
            </w:r>
          </w:p>
        </w:tc>
        <w:tc>
          <w:tcPr>
            <w:tcW w:w="1843" w:type="dxa"/>
            <w:tcBorders>
              <w:top w:val="single" w:sz="4" w:space="0" w:color="auto"/>
              <w:left w:val="nil"/>
              <w:bottom w:val="single" w:sz="4" w:space="0" w:color="auto"/>
              <w:right w:val="single" w:sz="4" w:space="0" w:color="auto"/>
            </w:tcBorders>
            <w:shd w:val="clear" w:color="auto" w:fill="auto"/>
            <w:noWrap/>
            <w:vAlign w:val="bottom"/>
          </w:tcPr>
          <w:p w:rsidR="004B4774" w:rsidRDefault="004B4774" w:rsidP="009A5A02">
            <w:pPr>
              <w:spacing w:line="240" w:lineRule="auto"/>
              <w:jc w:val="right"/>
              <w:rPr>
                <w:rFonts w:ascii="Arial" w:hAnsi="Arial" w:cs="Arial"/>
                <w:color w:val="000000"/>
              </w:rPr>
            </w:pPr>
            <w:r>
              <w:rPr>
                <w:rFonts w:ascii="Arial" w:hAnsi="Arial" w:cs="Arial"/>
                <w:color w:val="000000"/>
              </w:rPr>
              <w:t>8.5%</w:t>
            </w:r>
          </w:p>
        </w:tc>
      </w:tr>
      <w:tr w:rsidR="004B4774" w:rsidRPr="003471D1" w:rsidTr="009A5A02">
        <w:trPr>
          <w:trHeight w:val="288"/>
        </w:trPr>
        <w:tc>
          <w:tcPr>
            <w:tcW w:w="2992" w:type="dxa"/>
            <w:tcBorders>
              <w:top w:val="single" w:sz="4" w:space="0" w:color="auto"/>
              <w:left w:val="single" w:sz="4" w:space="0" w:color="auto"/>
              <w:bottom w:val="single" w:sz="4" w:space="0" w:color="auto"/>
              <w:right w:val="single" w:sz="4" w:space="0" w:color="auto"/>
            </w:tcBorders>
            <w:shd w:val="clear" w:color="000000" w:fill="BFBFBF"/>
            <w:noWrap/>
            <w:vAlign w:val="bottom"/>
          </w:tcPr>
          <w:p w:rsidR="004B4774" w:rsidRDefault="004B4774" w:rsidP="009A5A02">
            <w:pPr>
              <w:spacing w:line="240" w:lineRule="auto"/>
              <w:rPr>
                <w:rFonts w:ascii="Arial" w:hAnsi="Arial" w:cs="Arial"/>
                <w:color w:val="000000"/>
              </w:rPr>
            </w:pPr>
            <w:r>
              <w:rPr>
                <w:rFonts w:ascii="Arial" w:hAnsi="Arial" w:cs="Arial"/>
                <w:color w:val="000000"/>
              </w:rPr>
              <w:t>Average distance travelled to work</w:t>
            </w:r>
          </w:p>
        </w:tc>
        <w:tc>
          <w:tcPr>
            <w:tcW w:w="1985" w:type="dxa"/>
            <w:tcBorders>
              <w:top w:val="single" w:sz="4" w:space="0" w:color="auto"/>
              <w:left w:val="nil"/>
              <w:bottom w:val="single" w:sz="4" w:space="0" w:color="auto"/>
              <w:right w:val="single" w:sz="4" w:space="0" w:color="auto"/>
            </w:tcBorders>
            <w:shd w:val="clear" w:color="auto" w:fill="auto"/>
            <w:noWrap/>
            <w:vAlign w:val="bottom"/>
          </w:tcPr>
          <w:p w:rsidR="004B4774" w:rsidRDefault="004B4774" w:rsidP="009A5A02">
            <w:pPr>
              <w:spacing w:line="240" w:lineRule="auto"/>
              <w:jc w:val="right"/>
              <w:rPr>
                <w:rFonts w:ascii="Arial" w:hAnsi="Arial" w:cs="Arial"/>
                <w:color w:val="000000"/>
              </w:rPr>
            </w:pPr>
            <w:r>
              <w:rPr>
                <w:rFonts w:ascii="Arial" w:hAnsi="Arial" w:cs="Arial"/>
                <w:color w:val="000000"/>
              </w:rPr>
              <w:t>24.1km</w:t>
            </w:r>
          </w:p>
        </w:tc>
        <w:tc>
          <w:tcPr>
            <w:tcW w:w="1842" w:type="dxa"/>
            <w:tcBorders>
              <w:top w:val="single" w:sz="4" w:space="0" w:color="auto"/>
              <w:left w:val="nil"/>
              <w:bottom w:val="single" w:sz="4" w:space="0" w:color="auto"/>
              <w:right w:val="single" w:sz="4" w:space="0" w:color="auto"/>
            </w:tcBorders>
            <w:shd w:val="clear" w:color="auto" w:fill="auto"/>
            <w:noWrap/>
            <w:vAlign w:val="bottom"/>
          </w:tcPr>
          <w:p w:rsidR="004B4774" w:rsidRDefault="004B4774" w:rsidP="009A5A02">
            <w:pPr>
              <w:spacing w:line="240" w:lineRule="auto"/>
              <w:jc w:val="right"/>
              <w:rPr>
                <w:rFonts w:ascii="Arial" w:hAnsi="Arial" w:cs="Arial"/>
                <w:color w:val="000000"/>
              </w:rPr>
            </w:pPr>
            <w:r>
              <w:rPr>
                <w:rFonts w:ascii="Arial" w:hAnsi="Arial" w:cs="Arial"/>
                <w:color w:val="000000"/>
              </w:rPr>
              <w:t>18.1km</w:t>
            </w:r>
          </w:p>
        </w:tc>
        <w:tc>
          <w:tcPr>
            <w:tcW w:w="1843" w:type="dxa"/>
            <w:tcBorders>
              <w:top w:val="single" w:sz="4" w:space="0" w:color="auto"/>
              <w:left w:val="nil"/>
              <w:bottom w:val="single" w:sz="4" w:space="0" w:color="auto"/>
              <w:right w:val="single" w:sz="4" w:space="0" w:color="auto"/>
            </w:tcBorders>
            <w:shd w:val="clear" w:color="auto" w:fill="auto"/>
            <w:noWrap/>
            <w:vAlign w:val="bottom"/>
          </w:tcPr>
          <w:p w:rsidR="004B4774" w:rsidRDefault="004B4774" w:rsidP="009A5A02">
            <w:pPr>
              <w:spacing w:line="240" w:lineRule="auto"/>
              <w:jc w:val="right"/>
              <w:rPr>
                <w:rFonts w:ascii="Arial" w:hAnsi="Arial" w:cs="Arial"/>
                <w:color w:val="000000"/>
              </w:rPr>
            </w:pPr>
            <w:r>
              <w:rPr>
                <w:rFonts w:ascii="Arial" w:hAnsi="Arial" w:cs="Arial"/>
                <w:color w:val="000000"/>
              </w:rPr>
              <w:t>14.9km</w:t>
            </w:r>
          </w:p>
        </w:tc>
      </w:tr>
    </w:tbl>
    <w:p w:rsidR="004B4774" w:rsidRPr="001409C2" w:rsidRDefault="004B4774" w:rsidP="004B4774">
      <w:pPr>
        <w:pStyle w:val="Source"/>
      </w:pPr>
      <w:r w:rsidRPr="00DD6376">
        <w:rPr>
          <w:lang w:val="fr-FR"/>
        </w:rPr>
        <w:t xml:space="preserve">Source: ONS </w:t>
      </w:r>
      <w:proofErr w:type="spellStart"/>
      <w:r w:rsidRPr="00DD6376">
        <w:rPr>
          <w:lang w:val="fr-FR"/>
        </w:rPr>
        <w:t>Census</w:t>
      </w:r>
      <w:proofErr w:type="spellEnd"/>
      <w:r w:rsidRPr="00DD6376">
        <w:rPr>
          <w:lang w:val="fr-FR"/>
        </w:rPr>
        <w:t xml:space="preserve"> 2011, AECOM </w:t>
      </w:r>
      <w:proofErr w:type="spellStart"/>
      <w:r w:rsidR="001157B7">
        <w:rPr>
          <w:lang w:val="fr-FR"/>
        </w:rPr>
        <w:t>c</w:t>
      </w:r>
      <w:r w:rsidRPr="00DD6376">
        <w:rPr>
          <w:lang w:val="fr-FR"/>
        </w:rPr>
        <w:t>alculations</w:t>
      </w:r>
      <w:proofErr w:type="spellEnd"/>
    </w:p>
    <w:p w:rsidR="004B4774" w:rsidRPr="002062E3" w:rsidRDefault="004B4774" w:rsidP="004B4774">
      <w:pPr>
        <w:pStyle w:val="ListNumber"/>
      </w:pPr>
      <w:r>
        <w:t>The CLP identifies the o</w:t>
      </w:r>
      <w:r w:rsidRPr="00DC3839">
        <w:t>ut-commuting flows</w:t>
      </w:r>
      <w:r>
        <w:t xml:space="preserve"> from the Manhood Peninsula – where West Wittering is situated – as a challenge and intends to support and diversify economic activity particularly job opportunities on the Manhood Peninsula</w:t>
      </w:r>
      <w:r w:rsidR="001157B7">
        <w:t>.</w:t>
      </w:r>
      <w:r w:rsidRPr="00A215AC">
        <w:rPr>
          <w:vertAlign w:val="superscript"/>
        </w:rPr>
        <w:footnoteReference w:id="49"/>
      </w:r>
      <w:r>
        <w:t xml:space="preserve"> The CLP sets out its vision for the Manhood peninsula and its strategy includes developing “</w:t>
      </w:r>
      <w:r w:rsidRPr="004E599B">
        <w:rPr>
          <w:i/>
        </w:rPr>
        <w:t>intrinsic local industries such as small scale horticulture, agriculture, fishing and tourism […] with a particular focus on local food production</w:t>
      </w:r>
      <w:r>
        <w:t>”</w:t>
      </w:r>
      <w:r w:rsidRPr="004E599B">
        <w:rPr>
          <w:vertAlign w:val="superscript"/>
        </w:rPr>
        <w:footnoteReference w:id="50"/>
      </w:r>
      <w:r>
        <w:t>. It also includes developing “</w:t>
      </w:r>
      <w:r w:rsidRPr="004E599B">
        <w:rPr>
          <w:i/>
        </w:rPr>
        <w:t>an ‘enterprise’ culture, building on high levels of entrepreneurship and self-employment</w:t>
      </w:r>
      <w:r>
        <w:t>”.</w:t>
      </w:r>
      <w:r w:rsidRPr="00CE2E83">
        <w:t xml:space="preserve"> As shown in </w:t>
      </w:r>
      <w:r w:rsidRPr="00CE2E83">
        <w:fldChar w:fldCharType="begin"/>
      </w:r>
      <w:r w:rsidRPr="00CE2E83">
        <w:instrText xml:space="preserve"> REF _Ref495413771 \h </w:instrText>
      </w:r>
      <w:r>
        <w:instrText xml:space="preserve"> \* MERGEFORMAT </w:instrText>
      </w:r>
      <w:r w:rsidRPr="00CE2E83">
        <w:fldChar w:fldCharType="separate"/>
      </w:r>
      <w:r>
        <w:t>Table 2</w:t>
      </w:r>
      <w:r w:rsidRPr="00CE2E83">
        <w:fldChar w:fldCharType="end"/>
      </w:r>
      <w:r w:rsidRPr="00CE2E83">
        <w:t>, there are high levels of self-employment in West Wittering (17.4%) as well as in Chichester (14.5%) as identified in the CLP</w:t>
      </w:r>
      <w:r w:rsidR="001157B7">
        <w:t>.</w:t>
      </w:r>
      <w:r w:rsidRPr="004E599B">
        <w:rPr>
          <w:vertAlign w:val="superscript"/>
        </w:rPr>
        <w:footnoteReference w:id="51"/>
      </w:r>
      <w:r w:rsidRPr="00CE2E83">
        <w:t xml:space="preserve"> </w:t>
      </w:r>
    </w:p>
    <w:p w:rsidR="004B4774" w:rsidRPr="00C2241F" w:rsidRDefault="004B4774" w:rsidP="004B4774">
      <w:pPr>
        <w:pStyle w:val="ListNumber"/>
      </w:pPr>
      <w:r w:rsidRPr="00BE2D52">
        <w:rPr>
          <w:lang w:val="en-US"/>
        </w:rPr>
        <w:lastRenderedPageBreak/>
        <w:t xml:space="preserve">Congestion at the </w:t>
      </w:r>
      <w:r w:rsidR="001157B7">
        <w:rPr>
          <w:lang w:val="en-US"/>
        </w:rPr>
        <w:t>six</w:t>
      </w:r>
      <w:r w:rsidRPr="00BE2D52">
        <w:rPr>
          <w:lang w:val="en-US"/>
        </w:rPr>
        <w:t xml:space="preserve"> roundabouts around </w:t>
      </w:r>
      <w:proofErr w:type="spellStart"/>
      <w:r w:rsidRPr="00BE2D52">
        <w:rPr>
          <w:lang w:val="en-US"/>
        </w:rPr>
        <w:t>Chichester</w:t>
      </w:r>
      <w:proofErr w:type="spellEnd"/>
      <w:r w:rsidRPr="00BE2D52">
        <w:rPr>
          <w:lang w:val="en-US"/>
        </w:rPr>
        <w:t xml:space="preserve"> is also identified </w:t>
      </w:r>
      <w:r>
        <w:rPr>
          <w:lang w:val="en-US"/>
        </w:rPr>
        <w:t>as a challenge in the LEPSEP</w:t>
      </w:r>
      <w:r>
        <w:rPr>
          <w:rStyle w:val="FootnoteReference"/>
          <w:lang w:val="en-US"/>
        </w:rPr>
        <w:footnoteReference w:id="52"/>
      </w:r>
      <w:r>
        <w:rPr>
          <w:lang w:val="en-US"/>
        </w:rPr>
        <w:t xml:space="preserve"> and A27 roundabout improvements are planned in order to “</w:t>
      </w:r>
      <w:r w:rsidRPr="00736E89">
        <w:rPr>
          <w:i/>
          <w:lang w:val="en-US"/>
        </w:rPr>
        <w:t>improve traffic flow and the coast and open access to new housing and employment sites</w:t>
      </w:r>
      <w:r>
        <w:rPr>
          <w:lang w:val="en-US"/>
        </w:rPr>
        <w:t xml:space="preserve">”. </w:t>
      </w:r>
      <w:r>
        <w:rPr>
          <w:lang w:eastAsia="en-GB"/>
        </w:rPr>
        <w:t>Such investment would be expected to generate further additional demand for housing in West Wittering given it would improve connections to new employment opportunities.</w:t>
      </w:r>
    </w:p>
    <w:p w:rsidR="004B4774" w:rsidRPr="009A22DB" w:rsidRDefault="004B4774" w:rsidP="004B4774">
      <w:pPr>
        <w:pStyle w:val="Heading2"/>
        <w:rPr>
          <w:lang w:val="en-US"/>
        </w:rPr>
      </w:pPr>
      <w:bookmarkStart w:id="158" w:name="_Toc495920031"/>
      <w:bookmarkStart w:id="159" w:name="_Toc504464749"/>
      <w:r w:rsidRPr="009A22DB">
        <w:rPr>
          <w:lang w:val="en-US"/>
        </w:rPr>
        <w:t xml:space="preserve">Housing </w:t>
      </w:r>
      <w:r w:rsidR="001157B7">
        <w:rPr>
          <w:lang w:val="en-US"/>
        </w:rPr>
        <w:t>t</w:t>
      </w:r>
      <w:r w:rsidRPr="009A22DB">
        <w:rPr>
          <w:lang w:val="en-US"/>
        </w:rPr>
        <w:t xml:space="preserve">ransactions: </w:t>
      </w:r>
      <w:r w:rsidR="001157B7">
        <w:rPr>
          <w:lang w:val="en-US"/>
        </w:rPr>
        <w:t>p</w:t>
      </w:r>
      <w:r w:rsidRPr="009A22DB">
        <w:rPr>
          <w:lang w:val="en-US"/>
        </w:rPr>
        <w:t>rices</w:t>
      </w:r>
      <w:bookmarkEnd w:id="158"/>
      <w:bookmarkEnd w:id="159"/>
    </w:p>
    <w:p w:rsidR="004B4774" w:rsidRDefault="004B4774" w:rsidP="00A258B5">
      <w:pPr>
        <w:pStyle w:val="ListNumber"/>
      </w:pPr>
      <w:r w:rsidRPr="009A22DB">
        <w:t xml:space="preserve">The PPG advises that house prices should be used as an indication of the strength of demand for housing, and the adequacy of supply to meet that demand. To assess the housing market in the West Wittering NPA data from the Land Registry was analysed. This data provides price paid, housing type and date of transaction information which allows housing market trends to be identified. Data was downloaded for the period of January 2007 to December 2016 and is presented annually in the figure below. To replicate the NPA area, relevant post code data was filtered down to the </w:t>
      </w:r>
      <w:r w:rsidR="005F5CF8">
        <w:t>Parish</w:t>
      </w:r>
      <w:r w:rsidRPr="009A22DB">
        <w:t xml:space="preserve"> level, such that only post-codes within the </w:t>
      </w:r>
      <w:r w:rsidR="005F5CF8">
        <w:t>Parish</w:t>
      </w:r>
      <w:r w:rsidRPr="009A22DB">
        <w:t xml:space="preserve"> were included in the selection of Land Registry Data used for the analysis. </w:t>
      </w:r>
    </w:p>
    <w:p w:rsidR="004B4774" w:rsidRPr="009A22DB" w:rsidRDefault="00B25544" w:rsidP="00A258B5">
      <w:pPr>
        <w:pStyle w:val="ListNumber"/>
      </w:pPr>
      <w:r>
        <w:fldChar w:fldCharType="begin"/>
      </w:r>
      <w:r>
        <w:instrText xml:space="preserve"> REF _Ref495407060 \h </w:instrText>
      </w:r>
      <w:r>
        <w:fldChar w:fldCharType="separate"/>
      </w:r>
      <w:r w:rsidRPr="005C2CD6">
        <w:t xml:space="preserve">Figure </w:t>
      </w:r>
      <w:r>
        <w:rPr>
          <w:noProof/>
        </w:rPr>
        <w:t>8</w:t>
      </w:r>
      <w:r>
        <w:fldChar w:fldCharType="end"/>
      </w:r>
      <w:r w:rsidR="004B4774">
        <w:t xml:space="preserve"> and </w:t>
      </w:r>
      <w:r>
        <w:fldChar w:fldCharType="begin"/>
      </w:r>
      <w:r>
        <w:instrText xml:space="preserve"> REF _Ref504465325 \h </w:instrText>
      </w:r>
      <w:r>
        <w:fldChar w:fldCharType="separate"/>
      </w:r>
      <w:r>
        <w:t xml:space="preserve">Table </w:t>
      </w:r>
      <w:r>
        <w:rPr>
          <w:noProof/>
        </w:rPr>
        <w:t>22</w:t>
      </w:r>
      <w:r>
        <w:fldChar w:fldCharType="end"/>
      </w:r>
      <w:r w:rsidR="004B4774">
        <w:t xml:space="preserve"> below indicate that all types of housing have recovered to their pre-recession prices on average rather fast. The terraced houses experienced a 55% price growth while the flats prices increased by 44%</w:t>
      </w:r>
      <w:r w:rsidR="004B4774" w:rsidRPr="00521207">
        <w:t xml:space="preserve"> </w:t>
      </w:r>
      <w:r w:rsidR="004B4774">
        <w:t>between 2007 and 2016.</w:t>
      </w:r>
    </w:p>
    <w:p w:rsidR="004B4774" w:rsidRPr="00BC37DD" w:rsidRDefault="004B4774" w:rsidP="004B4774">
      <w:pPr>
        <w:pStyle w:val="Caption"/>
      </w:pPr>
      <w:bookmarkStart w:id="160" w:name="_Ref495407060"/>
      <w:bookmarkStart w:id="161" w:name="_Toc495920044"/>
      <w:r w:rsidRPr="005C2CD6">
        <w:t xml:space="preserve">Figure </w:t>
      </w:r>
      <w:fldSimple w:instr=" SEQ Figure \* ARABIC ">
        <w:r w:rsidR="00A258B5">
          <w:rPr>
            <w:noProof/>
          </w:rPr>
          <w:t>8</w:t>
        </w:r>
      </w:fldSimple>
      <w:bookmarkEnd w:id="160"/>
      <w:r>
        <w:t>: West Wittering</w:t>
      </w:r>
      <w:r w:rsidRPr="00874B1D">
        <w:t xml:space="preserve"> </w:t>
      </w:r>
      <w:r w:rsidR="001157B7">
        <w:t>p</w:t>
      </w:r>
      <w:r w:rsidRPr="00874B1D">
        <w:t xml:space="preserve">rices </w:t>
      </w:r>
      <w:r w:rsidR="001157B7">
        <w:t>p</w:t>
      </w:r>
      <w:r w:rsidRPr="00874B1D">
        <w:t xml:space="preserve">aid by </w:t>
      </w:r>
      <w:r w:rsidR="001157B7">
        <w:t>h</w:t>
      </w:r>
      <w:r w:rsidRPr="00874B1D">
        <w:t>ouse</w:t>
      </w:r>
      <w:r w:rsidR="001157B7">
        <w:t xml:space="preserve"> t</w:t>
      </w:r>
      <w:r w:rsidRPr="00874B1D">
        <w:t>ype, 2007-2016</w:t>
      </w:r>
      <w:bookmarkEnd w:id="161"/>
    </w:p>
    <w:p w:rsidR="004B4774" w:rsidRPr="00BC37DD" w:rsidRDefault="004B4774" w:rsidP="004B4774">
      <w:pPr>
        <w:pStyle w:val="ListNumber"/>
        <w:numPr>
          <w:ilvl w:val="0"/>
          <w:numId w:val="0"/>
        </w:numPr>
        <w:ind w:left="425"/>
        <w:rPr>
          <w:lang w:val="en-US"/>
        </w:rPr>
      </w:pPr>
      <w:r>
        <w:rPr>
          <w:noProof/>
          <w:lang w:eastAsia="en-GB"/>
        </w:rPr>
        <w:drawing>
          <wp:inline distT="0" distB="0" distL="0" distR="0" wp14:anchorId="7FF198AA" wp14:editId="727AA598">
            <wp:extent cx="5731510" cy="3151106"/>
            <wp:effectExtent l="0" t="0" r="21590" b="11430"/>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4B4774" w:rsidRDefault="004B4774" w:rsidP="004B4774">
      <w:pPr>
        <w:pStyle w:val="Source"/>
      </w:pPr>
      <w:r w:rsidRPr="00FF08C3">
        <w:t xml:space="preserve">Source: Land Registry PPD, AECOM </w:t>
      </w:r>
      <w:r w:rsidR="001157B7">
        <w:t>c</w:t>
      </w:r>
      <w:r w:rsidRPr="00FF08C3">
        <w:t>alculations</w:t>
      </w:r>
    </w:p>
    <w:p w:rsidR="004B4774" w:rsidRPr="00FF08C3" w:rsidRDefault="004B4774" w:rsidP="004B4774">
      <w:pPr>
        <w:pStyle w:val="Caption"/>
      </w:pPr>
      <w:bookmarkStart w:id="162" w:name="_Ref495407092"/>
      <w:bookmarkStart w:id="163" w:name="_Toc495920052"/>
      <w:bookmarkStart w:id="164" w:name="_Ref504465325"/>
      <w:r>
        <w:t xml:space="preserve">Table </w:t>
      </w:r>
      <w:fldSimple w:instr=" SEQ Table \* ARABIC ">
        <w:r w:rsidR="00B25544">
          <w:rPr>
            <w:noProof/>
          </w:rPr>
          <w:t>22</w:t>
        </w:r>
      </w:fldSimple>
      <w:bookmarkEnd w:id="162"/>
      <w:r>
        <w:t>: West Wittering</w:t>
      </w:r>
      <w:r w:rsidRPr="00874B1D">
        <w:t xml:space="preserve"> </w:t>
      </w:r>
      <w:r w:rsidR="001157B7">
        <w:t>p</w:t>
      </w:r>
      <w:r w:rsidRPr="00874B1D">
        <w:t xml:space="preserve">rices </w:t>
      </w:r>
      <w:r w:rsidR="001157B7">
        <w:t>p</w:t>
      </w:r>
      <w:r w:rsidRPr="00874B1D">
        <w:t xml:space="preserve">aid by </w:t>
      </w:r>
      <w:r w:rsidR="001157B7">
        <w:t>h</w:t>
      </w:r>
      <w:r w:rsidRPr="00874B1D">
        <w:t xml:space="preserve">ouse </w:t>
      </w:r>
      <w:r w:rsidR="001157B7">
        <w:t>t</w:t>
      </w:r>
      <w:r w:rsidRPr="00874B1D">
        <w:t>ype, 2007-2016</w:t>
      </w:r>
      <w:bookmarkEnd w:id="163"/>
      <w:bookmarkEnd w:id="164"/>
    </w:p>
    <w:tbl>
      <w:tblPr>
        <w:tblStyle w:val="TableGrid"/>
        <w:tblW w:w="10065" w:type="dxa"/>
        <w:tblLayout w:type="fixed"/>
        <w:tblLook w:val="04A0" w:firstRow="1" w:lastRow="0" w:firstColumn="1" w:lastColumn="0" w:noHBand="0" w:noVBand="1"/>
      </w:tblPr>
      <w:tblGrid>
        <w:gridCol w:w="1075"/>
        <w:gridCol w:w="899"/>
        <w:gridCol w:w="899"/>
        <w:gridCol w:w="899"/>
        <w:gridCol w:w="899"/>
        <w:gridCol w:w="899"/>
        <w:gridCol w:w="899"/>
        <w:gridCol w:w="899"/>
        <w:gridCol w:w="899"/>
        <w:gridCol w:w="899"/>
        <w:gridCol w:w="899"/>
      </w:tblGrid>
      <w:tr w:rsidR="004B4774" w:rsidRPr="00FB505C" w:rsidTr="009A5A02">
        <w:trPr>
          <w:cnfStyle w:val="100000000000" w:firstRow="1" w:lastRow="0" w:firstColumn="0" w:lastColumn="0" w:oddVBand="0" w:evenVBand="0" w:oddHBand="0" w:evenHBand="0" w:firstRowFirstColumn="0" w:firstRowLastColumn="0" w:lastRowFirstColumn="0" w:lastRowLastColumn="0"/>
          <w:trHeight w:val="288"/>
        </w:trPr>
        <w:tc>
          <w:tcPr>
            <w:tcW w:w="1075" w:type="dxa"/>
            <w:shd w:val="clear" w:color="auto" w:fill="0D0D0D" w:themeFill="text1" w:themeFillTint="F2"/>
            <w:noWrap/>
          </w:tcPr>
          <w:p w:rsidR="004B4774" w:rsidRPr="00097B36" w:rsidRDefault="004B4774" w:rsidP="009A5A02">
            <w:pPr>
              <w:rPr>
                <w:rFonts w:ascii="Arial" w:hAnsi="Arial" w:cs="Arial"/>
                <w:i/>
                <w:iCs/>
                <w:color w:val="FFFFFF" w:themeColor="background1"/>
              </w:rPr>
            </w:pPr>
          </w:p>
        </w:tc>
        <w:tc>
          <w:tcPr>
            <w:tcW w:w="899" w:type="dxa"/>
            <w:shd w:val="clear" w:color="auto" w:fill="0D0D0D" w:themeFill="text1" w:themeFillTint="F2"/>
            <w:noWrap/>
          </w:tcPr>
          <w:p w:rsidR="004B4774" w:rsidRPr="00097B36" w:rsidRDefault="004B4774" w:rsidP="009A5A02">
            <w:pPr>
              <w:jc w:val="both"/>
              <w:rPr>
                <w:rFonts w:ascii="Arial" w:hAnsi="Arial" w:cs="Arial"/>
                <w:b/>
                <w:bCs/>
                <w:color w:val="FFFFFF" w:themeColor="background1"/>
              </w:rPr>
            </w:pPr>
            <w:r w:rsidRPr="00097B36">
              <w:rPr>
                <w:rFonts w:ascii="Arial" w:hAnsi="Arial" w:cs="Arial"/>
                <w:b/>
                <w:bCs/>
                <w:color w:val="FFFFFF" w:themeColor="background1"/>
              </w:rPr>
              <w:t>2007</w:t>
            </w:r>
          </w:p>
        </w:tc>
        <w:tc>
          <w:tcPr>
            <w:tcW w:w="899" w:type="dxa"/>
            <w:shd w:val="clear" w:color="auto" w:fill="0D0D0D" w:themeFill="text1" w:themeFillTint="F2"/>
            <w:noWrap/>
          </w:tcPr>
          <w:p w:rsidR="004B4774" w:rsidRPr="00097B36" w:rsidRDefault="004B4774" w:rsidP="009A5A02">
            <w:pPr>
              <w:jc w:val="both"/>
              <w:rPr>
                <w:rFonts w:ascii="Arial" w:hAnsi="Arial" w:cs="Arial"/>
                <w:b/>
                <w:bCs/>
                <w:color w:val="FFFFFF" w:themeColor="background1"/>
              </w:rPr>
            </w:pPr>
            <w:r w:rsidRPr="00097B36">
              <w:rPr>
                <w:rFonts w:ascii="Arial" w:hAnsi="Arial" w:cs="Arial"/>
                <w:b/>
                <w:bCs/>
                <w:color w:val="FFFFFF" w:themeColor="background1"/>
              </w:rPr>
              <w:t>2008</w:t>
            </w:r>
          </w:p>
        </w:tc>
        <w:tc>
          <w:tcPr>
            <w:tcW w:w="899" w:type="dxa"/>
            <w:shd w:val="clear" w:color="auto" w:fill="0D0D0D" w:themeFill="text1" w:themeFillTint="F2"/>
            <w:noWrap/>
          </w:tcPr>
          <w:p w:rsidR="004B4774" w:rsidRPr="00097B36" w:rsidRDefault="004B4774" w:rsidP="009A5A02">
            <w:pPr>
              <w:jc w:val="both"/>
              <w:rPr>
                <w:rFonts w:ascii="Arial" w:hAnsi="Arial" w:cs="Arial"/>
                <w:b/>
                <w:bCs/>
                <w:color w:val="FFFFFF" w:themeColor="background1"/>
              </w:rPr>
            </w:pPr>
            <w:r w:rsidRPr="00097B36">
              <w:rPr>
                <w:rFonts w:ascii="Arial" w:hAnsi="Arial" w:cs="Arial"/>
                <w:b/>
                <w:bCs/>
                <w:color w:val="FFFFFF" w:themeColor="background1"/>
              </w:rPr>
              <w:t>2009</w:t>
            </w:r>
          </w:p>
        </w:tc>
        <w:tc>
          <w:tcPr>
            <w:tcW w:w="899" w:type="dxa"/>
            <w:shd w:val="clear" w:color="auto" w:fill="0D0D0D" w:themeFill="text1" w:themeFillTint="F2"/>
            <w:noWrap/>
          </w:tcPr>
          <w:p w:rsidR="004B4774" w:rsidRPr="00097B36" w:rsidRDefault="004B4774" w:rsidP="009A5A02">
            <w:pPr>
              <w:jc w:val="both"/>
              <w:rPr>
                <w:rFonts w:ascii="Arial" w:hAnsi="Arial" w:cs="Arial"/>
                <w:b/>
                <w:bCs/>
                <w:color w:val="FFFFFF" w:themeColor="background1"/>
              </w:rPr>
            </w:pPr>
            <w:r w:rsidRPr="00097B36">
              <w:rPr>
                <w:rFonts w:ascii="Arial" w:hAnsi="Arial" w:cs="Arial"/>
                <w:b/>
                <w:bCs/>
                <w:color w:val="FFFFFF" w:themeColor="background1"/>
              </w:rPr>
              <w:t>2010</w:t>
            </w:r>
          </w:p>
        </w:tc>
        <w:tc>
          <w:tcPr>
            <w:tcW w:w="899" w:type="dxa"/>
            <w:shd w:val="clear" w:color="auto" w:fill="0D0D0D" w:themeFill="text1" w:themeFillTint="F2"/>
            <w:noWrap/>
          </w:tcPr>
          <w:p w:rsidR="004B4774" w:rsidRPr="00097B36" w:rsidRDefault="004B4774" w:rsidP="009A5A02">
            <w:pPr>
              <w:jc w:val="both"/>
              <w:rPr>
                <w:rFonts w:ascii="Arial" w:hAnsi="Arial" w:cs="Arial"/>
                <w:b/>
                <w:bCs/>
                <w:color w:val="FFFFFF" w:themeColor="background1"/>
              </w:rPr>
            </w:pPr>
            <w:r w:rsidRPr="00097B36">
              <w:rPr>
                <w:rFonts w:ascii="Arial" w:hAnsi="Arial" w:cs="Arial"/>
                <w:b/>
                <w:bCs/>
                <w:color w:val="FFFFFF" w:themeColor="background1"/>
              </w:rPr>
              <w:t>2011</w:t>
            </w:r>
          </w:p>
        </w:tc>
        <w:tc>
          <w:tcPr>
            <w:tcW w:w="899" w:type="dxa"/>
            <w:shd w:val="clear" w:color="auto" w:fill="0D0D0D" w:themeFill="text1" w:themeFillTint="F2"/>
            <w:noWrap/>
          </w:tcPr>
          <w:p w:rsidR="004B4774" w:rsidRPr="00097B36" w:rsidRDefault="004B4774" w:rsidP="009A5A02">
            <w:pPr>
              <w:jc w:val="both"/>
              <w:rPr>
                <w:rFonts w:ascii="Arial" w:hAnsi="Arial" w:cs="Arial"/>
                <w:b/>
                <w:bCs/>
                <w:color w:val="FFFFFF" w:themeColor="background1"/>
              </w:rPr>
            </w:pPr>
            <w:r w:rsidRPr="00097B36">
              <w:rPr>
                <w:rFonts w:ascii="Arial" w:hAnsi="Arial" w:cs="Arial"/>
                <w:b/>
                <w:bCs/>
                <w:color w:val="FFFFFF" w:themeColor="background1"/>
              </w:rPr>
              <w:t>2012</w:t>
            </w:r>
          </w:p>
        </w:tc>
        <w:tc>
          <w:tcPr>
            <w:tcW w:w="899" w:type="dxa"/>
            <w:shd w:val="clear" w:color="auto" w:fill="0D0D0D" w:themeFill="text1" w:themeFillTint="F2"/>
            <w:noWrap/>
          </w:tcPr>
          <w:p w:rsidR="004B4774" w:rsidRPr="00097B36" w:rsidRDefault="004B4774" w:rsidP="009A5A02">
            <w:pPr>
              <w:jc w:val="both"/>
              <w:rPr>
                <w:rFonts w:ascii="Arial" w:hAnsi="Arial" w:cs="Arial"/>
                <w:b/>
                <w:bCs/>
                <w:color w:val="FFFFFF" w:themeColor="background1"/>
              </w:rPr>
            </w:pPr>
            <w:r w:rsidRPr="00097B36">
              <w:rPr>
                <w:rFonts w:ascii="Arial" w:hAnsi="Arial" w:cs="Arial"/>
                <w:b/>
                <w:bCs/>
                <w:color w:val="FFFFFF" w:themeColor="background1"/>
              </w:rPr>
              <w:t>2013</w:t>
            </w:r>
          </w:p>
        </w:tc>
        <w:tc>
          <w:tcPr>
            <w:tcW w:w="899" w:type="dxa"/>
            <w:shd w:val="clear" w:color="auto" w:fill="0D0D0D" w:themeFill="text1" w:themeFillTint="F2"/>
            <w:noWrap/>
          </w:tcPr>
          <w:p w:rsidR="004B4774" w:rsidRPr="00097B36" w:rsidRDefault="004B4774" w:rsidP="009A5A02">
            <w:pPr>
              <w:jc w:val="both"/>
              <w:rPr>
                <w:rFonts w:ascii="Arial" w:hAnsi="Arial" w:cs="Arial"/>
                <w:b/>
                <w:bCs/>
                <w:color w:val="FFFFFF" w:themeColor="background1"/>
              </w:rPr>
            </w:pPr>
            <w:r w:rsidRPr="00097B36">
              <w:rPr>
                <w:rFonts w:ascii="Arial" w:hAnsi="Arial" w:cs="Arial"/>
                <w:b/>
                <w:bCs/>
                <w:color w:val="FFFFFF" w:themeColor="background1"/>
              </w:rPr>
              <w:t>2014</w:t>
            </w:r>
          </w:p>
        </w:tc>
        <w:tc>
          <w:tcPr>
            <w:tcW w:w="899" w:type="dxa"/>
            <w:shd w:val="clear" w:color="auto" w:fill="0D0D0D" w:themeFill="text1" w:themeFillTint="F2"/>
            <w:noWrap/>
          </w:tcPr>
          <w:p w:rsidR="004B4774" w:rsidRPr="00097B36" w:rsidRDefault="004B4774" w:rsidP="009A5A02">
            <w:pPr>
              <w:jc w:val="both"/>
              <w:rPr>
                <w:rFonts w:ascii="Arial" w:hAnsi="Arial" w:cs="Arial"/>
                <w:b/>
                <w:bCs/>
                <w:color w:val="FFFFFF" w:themeColor="background1"/>
              </w:rPr>
            </w:pPr>
            <w:r w:rsidRPr="00097B36">
              <w:rPr>
                <w:rFonts w:ascii="Arial" w:hAnsi="Arial" w:cs="Arial"/>
                <w:b/>
                <w:bCs/>
                <w:color w:val="FFFFFF" w:themeColor="background1"/>
              </w:rPr>
              <w:t>2015</w:t>
            </w:r>
          </w:p>
        </w:tc>
        <w:tc>
          <w:tcPr>
            <w:tcW w:w="899" w:type="dxa"/>
            <w:shd w:val="clear" w:color="auto" w:fill="0D0D0D" w:themeFill="text1" w:themeFillTint="F2"/>
            <w:noWrap/>
          </w:tcPr>
          <w:p w:rsidR="004B4774" w:rsidRPr="00097B36" w:rsidRDefault="004B4774" w:rsidP="009A5A02">
            <w:pPr>
              <w:jc w:val="both"/>
              <w:rPr>
                <w:rFonts w:ascii="Arial" w:hAnsi="Arial" w:cs="Arial"/>
                <w:b/>
                <w:bCs/>
                <w:color w:val="FFFFFF" w:themeColor="background1"/>
              </w:rPr>
            </w:pPr>
            <w:r w:rsidRPr="00097B36">
              <w:rPr>
                <w:rFonts w:ascii="Arial" w:hAnsi="Arial" w:cs="Arial"/>
                <w:b/>
                <w:bCs/>
                <w:color w:val="FFFFFF" w:themeColor="background1"/>
              </w:rPr>
              <w:t>2016</w:t>
            </w:r>
          </w:p>
        </w:tc>
      </w:tr>
      <w:tr w:rsidR="004B4774" w:rsidRPr="00FB505C" w:rsidTr="009A5A02">
        <w:trPr>
          <w:trHeight w:val="288"/>
        </w:trPr>
        <w:tc>
          <w:tcPr>
            <w:tcW w:w="1075" w:type="dxa"/>
            <w:shd w:val="clear" w:color="auto" w:fill="BFBFBF" w:themeFill="background1" w:themeFillShade="BF"/>
            <w:noWrap/>
          </w:tcPr>
          <w:p w:rsidR="004B4774" w:rsidRPr="00FB505C" w:rsidRDefault="004B4774" w:rsidP="009A5A02">
            <w:pPr>
              <w:rPr>
                <w:rFonts w:ascii="Arial" w:hAnsi="Arial" w:cs="Arial"/>
                <w:color w:val="000000"/>
              </w:rPr>
            </w:pPr>
            <w:r w:rsidRPr="00FB505C">
              <w:rPr>
                <w:rFonts w:ascii="Arial" w:hAnsi="Arial" w:cs="Arial"/>
                <w:color w:val="000000"/>
              </w:rPr>
              <w:t>Detached</w:t>
            </w:r>
          </w:p>
        </w:tc>
        <w:tc>
          <w:tcPr>
            <w:tcW w:w="899" w:type="dxa"/>
            <w:noWrap/>
            <w:vAlign w:val="bottom"/>
          </w:tcPr>
          <w:p w:rsidR="004B4774" w:rsidRPr="00886026" w:rsidRDefault="004B4774" w:rsidP="009A5A02">
            <w:pPr>
              <w:rPr>
                <w:rFonts w:cstheme="minorHAnsi"/>
                <w:color w:val="000000"/>
                <w:sz w:val="18"/>
              </w:rPr>
            </w:pPr>
            <w:r w:rsidRPr="00886026">
              <w:rPr>
                <w:rFonts w:cstheme="minorHAnsi"/>
                <w:color w:val="000000"/>
                <w:sz w:val="18"/>
              </w:rPr>
              <w:t>591,476</w:t>
            </w:r>
          </w:p>
        </w:tc>
        <w:tc>
          <w:tcPr>
            <w:tcW w:w="899" w:type="dxa"/>
            <w:noWrap/>
            <w:vAlign w:val="bottom"/>
          </w:tcPr>
          <w:p w:rsidR="004B4774" w:rsidRPr="00886026" w:rsidRDefault="004B4774" w:rsidP="009A5A02">
            <w:pPr>
              <w:rPr>
                <w:rFonts w:cstheme="minorHAnsi"/>
                <w:color w:val="000000"/>
                <w:sz w:val="18"/>
              </w:rPr>
            </w:pPr>
            <w:r w:rsidRPr="00886026">
              <w:rPr>
                <w:rFonts w:cstheme="minorHAnsi"/>
                <w:color w:val="000000"/>
                <w:sz w:val="18"/>
              </w:rPr>
              <w:t>520,298</w:t>
            </w:r>
          </w:p>
        </w:tc>
        <w:tc>
          <w:tcPr>
            <w:tcW w:w="899" w:type="dxa"/>
            <w:noWrap/>
            <w:vAlign w:val="bottom"/>
          </w:tcPr>
          <w:p w:rsidR="004B4774" w:rsidRPr="00886026" w:rsidRDefault="004B4774" w:rsidP="009A5A02">
            <w:pPr>
              <w:rPr>
                <w:rFonts w:cstheme="minorHAnsi"/>
                <w:color w:val="000000"/>
                <w:sz w:val="18"/>
              </w:rPr>
            </w:pPr>
            <w:r w:rsidRPr="00886026">
              <w:rPr>
                <w:rFonts w:cstheme="minorHAnsi"/>
                <w:color w:val="000000"/>
                <w:sz w:val="18"/>
              </w:rPr>
              <w:t>489,822</w:t>
            </w:r>
          </w:p>
        </w:tc>
        <w:tc>
          <w:tcPr>
            <w:tcW w:w="899" w:type="dxa"/>
            <w:noWrap/>
            <w:vAlign w:val="bottom"/>
          </w:tcPr>
          <w:p w:rsidR="004B4774" w:rsidRPr="00886026" w:rsidRDefault="004B4774" w:rsidP="009A5A02">
            <w:pPr>
              <w:rPr>
                <w:rFonts w:cstheme="minorHAnsi"/>
                <w:color w:val="000000"/>
                <w:sz w:val="18"/>
              </w:rPr>
            </w:pPr>
            <w:r w:rsidRPr="00886026">
              <w:rPr>
                <w:rFonts w:cstheme="minorHAnsi"/>
                <w:color w:val="000000"/>
                <w:sz w:val="18"/>
              </w:rPr>
              <w:t>532,190</w:t>
            </w:r>
          </w:p>
        </w:tc>
        <w:tc>
          <w:tcPr>
            <w:tcW w:w="899" w:type="dxa"/>
            <w:noWrap/>
            <w:vAlign w:val="bottom"/>
          </w:tcPr>
          <w:p w:rsidR="004B4774" w:rsidRPr="00886026" w:rsidRDefault="004B4774" w:rsidP="009A5A02">
            <w:pPr>
              <w:rPr>
                <w:rFonts w:cstheme="minorHAnsi"/>
                <w:color w:val="000000"/>
                <w:sz w:val="18"/>
              </w:rPr>
            </w:pPr>
            <w:r w:rsidRPr="00886026">
              <w:rPr>
                <w:rFonts w:cstheme="minorHAnsi"/>
                <w:color w:val="000000"/>
                <w:sz w:val="18"/>
              </w:rPr>
              <w:t>485,839</w:t>
            </w:r>
          </w:p>
        </w:tc>
        <w:tc>
          <w:tcPr>
            <w:tcW w:w="899" w:type="dxa"/>
            <w:noWrap/>
            <w:vAlign w:val="bottom"/>
          </w:tcPr>
          <w:p w:rsidR="004B4774" w:rsidRPr="00886026" w:rsidRDefault="004B4774" w:rsidP="009A5A02">
            <w:pPr>
              <w:rPr>
                <w:rFonts w:cstheme="minorHAnsi"/>
                <w:color w:val="000000"/>
                <w:sz w:val="18"/>
              </w:rPr>
            </w:pPr>
            <w:r w:rsidRPr="00886026">
              <w:rPr>
                <w:rFonts w:cstheme="minorHAnsi"/>
                <w:color w:val="000000"/>
                <w:sz w:val="18"/>
              </w:rPr>
              <w:t>487,209</w:t>
            </w:r>
          </w:p>
        </w:tc>
        <w:tc>
          <w:tcPr>
            <w:tcW w:w="899" w:type="dxa"/>
            <w:noWrap/>
            <w:vAlign w:val="bottom"/>
          </w:tcPr>
          <w:p w:rsidR="004B4774" w:rsidRPr="00886026" w:rsidRDefault="004B4774" w:rsidP="009A5A02">
            <w:pPr>
              <w:rPr>
                <w:rFonts w:cstheme="minorHAnsi"/>
                <w:color w:val="000000"/>
                <w:sz w:val="18"/>
              </w:rPr>
            </w:pPr>
            <w:r w:rsidRPr="00886026">
              <w:rPr>
                <w:rFonts w:cstheme="minorHAnsi"/>
                <w:color w:val="000000"/>
                <w:sz w:val="18"/>
              </w:rPr>
              <w:t>577,435</w:t>
            </w:r>
          </w:p>
        </w:tc>
        <w:tc>
          <w:tcPr>
            <w:tcW w:w="899" w:type="dxa"/>
            <w:noWrap/>
            <w:vAlign w:val="bottom"/>
          </w:tcPr>
          <w:p w:rsidR="004B4774" w:rsidRPr="00886026" w:rsidRDefault="004B4774" w:rsidP="009A5A02">
            <w:pPr>
              <w:rPr>
                <w:rFonts w:cstheme="minorHAnsi"/>
                <w:color w:val="000000"/>
                <w:sz w:val="18"/>
              </w:rPr>
            </w:pPr>
            <w:r w:rsidRPr="00886026">
              <w:rPr>
                <w:rFonts w:cstheme="minorHAnsi"/>
                <w:color w:val="000000"/>
                <w:sz w:val="18"/>
              </w:rPr>
              <w:t>580,757</w:t>
            </w:r>
          </w:p>
        </w:tc>
        <w:tc>
          <w:tcPr>
            <w:tcW w:w="899" w:type="dxa"/>
            <w:noWrap/>
            <w:vAlign w:val="bottom"/>
          </w:tcPr>
          <w:p w:rsidR="004B4774" w:rsidRPr="00886026" w:rsidRDefault="004B4774" w:rsidP="009A5A02">
            <w:pPr>
              <w:rPr>
                <w:rFonts w:cstheme="minorHAnsi"/>
                <w:color w:val="000000"/>
                <w:sz w:val="18"/>
              </w:rPr>
            </w:pPr>
            <w:r w:rsidRPr="00886026">
              <w:rPr>
                <w:rFonts w:cstheme="minorHAnsi"/>
                <w:color w:val="000000"/>
                <w:sz w:val="18"/>
              </w:rPr>
              <w:t>642,919</w:t>
            </w:r>
          </w:p>
        </w:tc>
        <w:tc>
          <w:tcPr>
            <w:tcW w:w="899" w:type="dxa"/>
            <w:noWrap/>
            <w:vAlign w:val="bottom"/>
          </w:tcPr>
          <w:p w:rsidR="004B4774" w:rsidRPr="00886026" w:rsidRDefault="004B4774" w:rsidP="009A5A02">
            <w:pPr>
              <w:rPr>
                <w:rFonts w:cstheme="minorHAnsi"/>
                <w:color w:val="000000"/>
                <w:sz w:val="18"/>
              </w:rPr>
            </w:pPr>
            <w:r w:rsidRPr="00886026">
              <w:rPr>
                <w:rFonts w:cstheme="minorHAnsi"/>
                <w:color w:val="000000"/>
                <w:sz w:val="18"/>
              </w:rPr>
              <w:t>664,593</w:t>
            </w:r>
          </w:p>
        </w:tc>
      </w:tr>
      <w:tr w:rsidR="004B4774" w:rsidRPr="00FB505C" w:rsidTr="009A5A02">
        <w:trPr>
          <w:trHeight w:val="288"/>
        </w:trPr>
        <w:tc>
          <w:tcPr>
            <w:tcW w:w="1075" w:type="dxa"/>
            <w:shd w:val="clear" w:color="auto" w:fill="BFBFBF" w:themeFill="background1" w:themeFillShade="BF"/>
            <w:noWrap/>
          </w:tcPr>
          <w:p w:rsidR="004B4774" w:rsidRPr="00FB505C" w:rsidRDefault="004B4774" w:rsidP="009A5A02">
            <w:pPr>
              <w:rPr>
                <w:rFonts w:ascii="Arial" w:hAnsi="Arial" w:cs="Arial"/>
                <w:color w:val="000000"/>
              </w:rPr>
            </w:pPr>
            <w:r w:rsidRPr="00FB505C">
              <w:rPr>
                <w:rFonts w:ascii="Arial" w:hAnsi="Arial" w:cs="Arial"/>
                <w:color w:val="000000"/>
              </w:rPr>
              <w:t>Semi-Detached</w:t>
            </w:r>
          </w:p>
        </w:tc>
        <w:tc>
          <w:tcPr>
            <w:tcW w:w="899" w:type="dxa"/>
            <w:noWrap/>
            <w:vAlign w:val="bottom"/>
          </w:tcPr>
          <w:p w:rsidR="004B4774" w:rsidRPr="00886026" w:rsidRDefault="004B4774" w:rsidP="009A5A02">
            <w:pPr>
              <w:rPr>
                <w:rFonts w:cstheme="minorHAnsi"/>
                <w:color w:val="000000"/>
                <w:sz w:val="18"/>
              </w:rPr>
            </w:pPr>
            <w:r w:rsidRPr="00886026">
              <w:rPr>
                <w:rFonts w:cstheme="minorHAnsi"/>
                <w:color w:val="000000"/>
                <w:sz w:val="18"/>
              </w:rPr>
              <w:t>279,040</w:t>
            </w:r>
          </w:p>
        </w:tc>
        <w:tc>
          <w:tcPr>
            <w:tcW w:w="899" w:type="dxa"/>
            <w:noWrap/>
            <w:vAlign w:val="bottom"/>
          </w:tcPr>
          <w:p w:rsidR="004B4774" w:rsidRPr="00886026" w:rsidRDefault="004B4774" w:rsidP="009A5A02">
            <w:pPr>
              <w:rPr>
                <w:rFonts w:cstheme="minorHAnsi"/>
                <w:color w:val="000000"/>
                <w:sz w:val="18"/>
              </w:rPr>
            </w:pPr>
            <w:r w:rsidRPr="00886026">
              <w:rPr>
                <w:rFonts w:cstheme="minorHAnsi"/>
                <w:color w:val="000000"/>
                <w:sz w:val="18"/>
              </w:rPr>
              <w:t>251,828</w:t>
            </w:r>
          </w:p>
        </w:tc>
        <w:tc>
          <w:tcPr>
            <w:tcW w:w="899" w:type="dxa"/>
            <w:noWrap/>
            <w:vAlign w:val="bottom"/>
          </w:tcPr>
          <w:p w:rsidR="004B4774" w:rsidRPr="00886026" w:rsidRDefault="004B4774" w:rsidP="009A5A02">
            <w:pPr>
              <w:rPr>
                <w:rFonts w:cstheme="minorHAnsi"/>
                <w:color w:val="000000"/>
                <w:sz w:val="18"/>
              </w:rPr>
            </w:pPr>
            <w:r w:rsidRPr="00886026">
              <w:rPr>
                <w:rFonts w:cstheme="minorHAnsi"/>
                <w:color w:val="000000"/>
                <w:sz w:val="18"/>
              </w:rPr>
              <w:t>239,106</w:t>
            </w:r>
          </w:p>
        </w:tc>
        <w:tc>
          <w:tcPr>
            <w:tcW w:w="899" w:type="dxa"/>
            <w:noWrap/>
            <w:vAlign w:val="bottom"/>
          </w:tcPr>
          <w:p w:rsidR="004B4774" w:rsidRPr="00886026" w:rsidRDefault="004B4774" w:rsidP="009A5A02">
            <w:pPr>
              <w:rPr>
                <w:rFonts w:cstheme="minorHAnsi"/>
                <w:color w:val="000000"/>
                <w:sz w:val="18"/>
              </w:rPr>
            </w:pPr>
            <w:r w:rsidRPr="00886026">
              <w:rPr>
                <w:rFonts w:cstheme="minorHAnsi"/>
                <w:color w:val="000000"/>
                <w:sz w:val="18"/>
              </w:rPr>
              <w:t>279,782</w:t>
            </w:r>
          </w:p>
        </w:tc>
        <w:tc>
          <w:tcPr>
            <w:tcW w:w="899" w:type="dxa"/>
            <w:noWrap/>
            <w:vAlign w:val="bottom"/>
          </w:tcPr>
          <w:p w:rsidR="004B4774" w:rsidRPr="00886026" w:rsidRDefault="004B4774" w:rsidP="009A5A02">
            <w:pPr>
              <w:rPr>
                <w:rFonts w:cstheme="minorHAnsi"/>
                <w:color w:val="000000"/>
                <w:sz w:val="18"/>
              </w:rPr>
            </w:pPr>
            <w:r w:rsidRPr="00886026">
              <w:rPr>
                <w:rFonts w:cstheme="minorHAnsi"/>
                <w:color w:val="000000"/>
                <w:sz w:val="18"/>
              </w:rPr>
              <w:t>268,824</w:t>
            </w:r>
          </w:p>
        </w:tc>
        <w:tc>
          <w:tcPr>
            <w:tcW w:w="899" w:type="dxa"/>
            <w:noWrap/>
            <w:vAlign w:val="bottom"/>
          </w:tcPr>
          <w:p w:rsidR="004B4774" w:rsidRPr="00886026" w:rsidRDefault="004B4774" w:rsidP="009A5A02">
            <w:pPr>
              <w:rPr>
                <w:rFonts w:cstheme="minorHAnsi"/>
                <w:color w:val="000000"/>
                <w:sz w:val="18"/>
              </w:rPr>
            </w:pPr>
            <w:r w:rsidRPr="00886026">
              <w:rPr>
                <w:rFonts w:cstheme="minorHAnsi"/>
                <w:color w:val="000000"/>
                <w:sz w:val="18"/>
              </w:rPr>
              <w:t>271,057</w:t>
            </w:r>
          </w:p>
        </w:tc>
        <w:tc>
          <w:tcPr>
            <w:tcW w:w="899" w:type="dxa"/>
            <w:noWrap/>
            <w:vAlign w:val="bottom"/>
          </w:tcPr>
          <w:p w:rsidR="004B4774" w:rsidRPr="00886026" w:rsidRDefault="004B4774" w:rsidP="009A5A02">
            <w:pPr>
              <w:rPr>
                <w:rFonts w:cstheme="minorHAnsi"/>
                <w:color w:val="000000"/>
                <w:sz w:val="18"/>
              </w:rPr>
            </w:pPr>
            <w:r w:rsidRPr="00886026">
              <w:rPr>
                <w:rFonts w:cstheme="minorHAnsi"/>
                <w:color w:val="000000"/>
                <w:sz w:val="18"/>
              </w:rPr>
              <w:t>443,133</w:t>
            </w:r>
          </w:p>
        </w:tc>
        <w:tc>
          <w:tcPr>
            <w:tcW w:w="899" w:type="dxa"/>
            <w:noWrap/>
            <w:vAlign w:val="bottom"/>
          </w:tcPr>
          <w:p w:rsidR="004B4774" w:rsidRPr="00886026" w:rsidRDefault="004B4774" w:rsidP="009A5A02">
            <w:pPr>
              <w:rPr>
                <w:rFonts w:cstheme="minorHAnsi"/>
                <w:color w:val="000000"/>
                <w:sz w:val="18"/>
              </w:rPr>
            </w:pPr>
            <w:r w:rsidRPr="00886026">
              <w:rPr>
                <w:rFonts w:cstheme="minorHAnsi"/>
                <w:color w:val="000000"/>
                <w:sz w:val="18"/>
              </w:rPr>
              <w:t>338,568</w:t>
            </w:r>
          </w:p>
        </w:tc>
        <w:tc>
          <w:tcPr>
            <w:tcW w:w="899" w:type="dxa"/>
            <w:noWrap/>
            <w:vAlign w:val="bottom"/>
          </w:tcPr>
          <w:p w:rsidR="004B4774" w:rsidRPr="00886026" w:rsidRDefault="004B4774" w:rsidP="009A5A02">
            <w:pPr>
              <w:rPr>
                <w:rFonts w:cstheme="minorHAnsi"/>
                <w:color w:val="000000"/>
                <w:sz w:val="18"/>
              </w:rPr>
            </w:pPr>
            <w:r w:rsidRPr="00886026">
              <w:rPr>
                <w:rFonts w:cstheme="minorHAnsi"/>
                <w:color w:val="000000"/>
                <w:sz w:val="18"/>
              </w:rPr>
              <w:t>271,669</w:t>
            </w:r>
          </w:p>
        </w:tc>
        <w:tc>
          <w:tcPr>
            <w:tcW w:w="899" w:type="dxa"/>
            <w:noWrap/>
            <w:vAlign w:val="bottom"/>
          </w:tcPr>
          <w:p w:rsidR="004B4774" w:rsidRPr="00886026" w:rsidRDefault="004B4774" w:rsidP="009A5A02">
            <w:pPr>
              <w:rPr>
                <w:rFonts w:cstheme="minorHAnsi"/>
                <w:color w:val="000000"/>
                <w:sz w:val="18"/>
              </w:rPr>
            </w:pPr>
            <w:r w:rsidRPr="00886026">
              <w:rPr>
                <w:rFonts w:cstheme="minorHAnsi"/>
                <w:color w:val="000000"/>
                <w:sz w:val="18"/>
              </w:rPr>
              <w:t>319,341</w:t>
            </w:r>
          </w:p>
        </w:tc>
      </w:tr>
      <w:tr w:rsidR="004B4774" w:rsidRPr="00FB505C" w:rsidTr="009A5A02">
        <w:trPr>
          <w:trHeight w:val="288"/>
        </w:trPr>
        <w:tc>
          <w:tcPr>
            <w:tcW w:w="1075" w:type="dxa"/>
            <w:shd w:val="clear" w:color="auto" w:fill="BFBFBF" w:themeFill="background1" w:themeFillShade="BF"/>
            <w:noWrap/>
          </w:tcPr>
          <w:p w:rsidR="004B4774" w:rsidRPr="00FB505C" w:rsidRDefault="004B4774" w:rsidP="009A5A02">
            <w:pPr>
              <w:rPr>
                <w:rFonts w:ascii="Arial" w:hAnsi="Arial" w:cs="Arial"/>
                <w:color w:val="000000"/>
              </w:rPr>
            </w:pPr>
            <w:r w:rsidRPr="00FB505C">
              <w:rPr>
                <w:rFonts w:ascii="Arial" w:hAnsi="Arial" w:cs="Arial"/>
                <w:color w:val="000000"/>
              </w:rPr>
              <w:t>Terraced</w:t>
            </w:r>
          </w:p>
        </w:tc>
        <w:tc>
          <w:tcPr>
            <w:tcW w:w="899" w:type="dxa"/>
            <w:noWrap/>
            <w:vAlign w:val="bottom"/>
          </w:tcPr>
          <w:p w:rsidR="004B4774" w:rsidRPr="00886026" w:rsidRDefault="004B4774" w:rsidP="009A5A02">
            <w:pPr>
              <w:rPr>
                <w:rFonts w:cstheme="minorHAnsi"/>
                <w:color w:val="000000"/>
                <w:sz w:val="18"/>
              </w:rPr>
            </w:pPr>
            <w:r w:rsidRPr="00886026">
              <w:rPr>
                <w:rFonts w:cstheme="minorHAnsi"/>
                <w:color w:val="000000"/>
                <w:sz w:val="18"/>
              </w:rPr>
              <w:t>203,000</w:t>
            </w:r>
          </w:p>
        </w:tc>
        <w:tc>
          <w:tcPr>
            <w:tcW w:w="899" w:type="dxa"/>
            <w:noWrap/>
            <w:vAlign w:val="bottom"/>
          </w:tcPr>
          <w:p w:rsidR="004B4774" w:rsidRPr="00886026" w:rsidRDefault="004B4774" w:rsidP="009A5A02">
            <w:pPr>
              <w:rPr>
                <w:rFonts w:cstheme="minorHAnsi"/>
                <w:color w:val="000000"/>
                <w:sz w:val="18"/>
              </w:rPr>
            </w:pPr>
            <w:r w:rsidRPr="00886026">
              <w:rPr>
                <w:rFonts w:cstheme="minorHAnsi"/>
                <w:color w:val="000000"/>
                <w:sz w:val="18"/>
              </w:rPr>
              <w:t>229,500</w:t>
            </w:r>
          </w:p>
        </w:tc>
        <w:tc>
          <w:tcPr>
            <w:tcW w:w="899" w:type="dxa"/>
            <w:noWrap/>
            <w:vAlign w:val="bottom"/>
          </w:tcPr>
          <w:p w:rsidR="004B4774" w:rsidRPr="00886026" w:rsidRDefault="004B4774" w:rsidP="009A5A02">
            <w:pPr>
              <w:rPr>
                <w:rFonts w:cstheme="minorHAnsi"/>
                <w:color w:val="000000"/>
                <w:sz w:val="18"/>
              </w:rPr>
            </w:pPr>
            <w:r w:rsidRPr="00886026">
              <w:rPr>
                <w:rFonts w:cstheme="minorHAnsi"/>
                <w:color w:val="000000"/>
                <w:sz w:val="18"/>
              </w:rPr>
              <w:t>195,167</w:t>
            </w:r>
          </w:p>
        </w:tc>
        <w:tc>
          <w:tcPr>
            <w:tcW w:w="899" w:type="dxa"/>
            <w:noWrap/>
            <w:vAlign w:val="bottom"/>
          </w:tcPr>
          <w:p w:rsidR="004B4774" w:rsidRPr="00886026" w:rsidRDefault="004B4774" w:rsidP="009A5A02">
            <w:pPr>
              <w:rPr>
                <w:rFonts w:cstheme="minorHAnsi"/>
                <w:color w:val="000000"/>
                <w:sz w:val="18"/>
              </w:rPr>
            </w:pPr>
            <w:r w:rsidRPr="00886026">
              <w:rPr>
                <w:rFonts w:cstheme="minorHAnsi"/>
                <w:color w:val="000000"/>
                <w:sz w:val="18"/>
              </w:rPr>
              <w:t>335,250</w:t>
            </w:r>
          </w:p>
        </w:tc>
        <w:tc>
          <w:tcPr>
            <w:tcW w:w="899" w:type="dxa"/>
            <w:noWrap/>
            <w:vAlign w:val="bottom"/>
          </w:tcPr>
          <w:p w:rsidR="004B4774" w:rsidRPr="00886026" w:rsidRDefault="004B4774" w:rsidP="009A5A02">
            <w:pPr>
              <w:rPr>
                <w:rFonts w:cstheme="minorHAnsi"/>
                <w:color w:val="000000"/>
                <w:sz w:val="18"/>
              </w:rPr>
            </w:pPr>
            <w:r w:rsidRPr="00886026">
              <w:rPr>
                <w:rFonts w:cstheme="minorHAnsi"/>
                <w:color w:val="000000"/>
                <w:sz w:val="18"/>
              </w:rPr>
              <w:t>411,250</w:t>
            </w:r>
          </w:p>
        </w:tc>
        <w:tc>
          <w:tcPr>
            <w:tcW w:w="899" w:type="dxa"/>
            <w:noWrap/>
            <w:vAlign w:val="bottom"/>
          </w:tcPr>
          <w:p w:rsidR="004B4774" w:rsidRPr="00886026" w:rsidRDefault="004B4774" w:rsidP="009A5A02">
            <w:pPr>
              <w:rPr>
                <w:rFonts w:cstheme="minorHAnsi"/>
                <w:color w:val="000000"/>
                <w:sz w:val="18"/>
              </w:rPr>
            </w:pPr>
            <w:r w:rsidRPr="00886026">
              <w:rPr>
                <w:rFonts w:cstheme="minorHAnsi"/>
                <w:color w:val="000000"/>
                <w:sz w:val="18"/>
              </w:rPr>
              <w:t>247,550</w:t>
            </w:r>
          </w:p>
        </w:tc>
        <w:tc>
          <w:tcPr>
            <w:tcW w:w="899" w:type="dxa"/>
            <w:noWrap/>
            <w:vAlign w:val="bottom"/>
          </w:tcPr>
          <w:p w:rsidR="004B4774" w:rsidRPr="00886026" w:rsidRDefault="004B4774" w:rsidP="009A5A02">
            <w:pPr>
              <w:rPr>
                <w:rFonts w:cstheme="minorHAnsi"/>
                <w:color w:val="000000"/>
                <w:sz w:val="18"/>
              </w:rPr>
            </w:pPr>
            <w:r w:rsidRPr="00886026">
              <w:rPr>
                <w:rFonts w:cstheme="minorHAnsi"/>
                <w:color w:val="000000"/>
                <w:sz w:val="18"/>
              </w:rPr>
              <w:t>341,250</w:t>
            </w:r>
          </w:p>
        </w:tc>
        <w:tc>
          <w:tcPr>
            <w:tcW w:w="899" w:type="dxa"/>
            <w:noWrap/>
            <w:vAlign w:val="bottom"/>
          </w:tcPr>
          <w:p w:rsidR="004B4774" w:rsidRPr="00886026" w:rsidRDefault="004B4774" w:rsidP="009A5A02">
            <w:pPr>
              <w:rPr>
                <w:rFonts w:cstheme="minorHAnsi"/>
                <w:color w:val="000000"/>
                <w:sz w:val="18"/>
              </w:rPr>
            </w:pPr>
            <w:r w:rsidRPr="00886026">
              <w:rPr>
                <w:rFonts w:cstheme="minorHAnsi"/>
                <w:color w:val="000000"/>
                <w:sz w:val="18"/>
              </w:rPr>
              <w:t>244,916</w:t>
            </w:r>
          </w:p>
        </w:tc>
        <w:tc>
          <w:tcPr>
            <w:tcW w:w="899" w:type="dxa"/>
            <w:noWrap/>
            <w:vAlign w:val="bottom"/>
          </w:tcPr>
          <w:p w:rsidR="004B4774" w:rsidRPr="00886026" w:rsidRDefault="004B4774" w:rsidP="009A5A02">
            <w:pPr>
              <w:rPr>
                <w:rFonts w:cstheme="minorHAnsi"/>
                <w:color w:val="000000"/>
                <w:sz w:val="18"/>
              </w:rPr>
            </w:pPr>
            <w:r w:rsidRPr="00886026">
              <w:rPr>
                <w:rFonts w:cstheme="minorHAnsi"/>
                <w:color w:val="000000"/>
                <w:sz w:val="18"/>
              </w:rPr>
              <w:t>242,333</w:t>
            </w:r>
          </w:p>
        </w:tc>
        <w:tc>
          <w:tcPr>
            <w:tcW w:w="899" w:type="dxa"/>
            <w:noWrap/>
            <w:vAlign w:val="bottom"/>
          </w:tcPr>
          <w:p w:rsidR="004B4774" w:rsidRPr="00886026" w:rsidRDefault="004B4774" w:rsidP="009A5A02">
            <w:pPr>
              <w:rPr>
                <w:rFonts w:cstheme="minorHAnsi"/>
                <w:color w:val="000000"/>
                <w:sz w:val="18"/>
              </w:rPr>
            </w:pPr>
            <w:r w:rsidRPr="00886026">
              <w:rPr>
                <w:rFonts w:cstheme="minorHAnsi"/>
                <w:color w:val="000000"/>
                <w:sz w:val="18"/>
              </w:rPr>
              <w:t>314,650</w:t>
            </w:r>
          </w:p>
        </w:tc>
      </w:tr>
      <w:tr w:rsidR="004B4774" w:rsidRPr="00FB505C" w:rsidTr="009A5A02">
        <w:trPr>
          <w:trHeight w:val="60"/>
        </w:trPr>
        <w:tc>
          <w:tcPr>
            <w:tcW w:w="1075" w:type="dxa"/>
            <w:shd w:val="clear" w:color="auto" w:fill="BFBFBF" w:themeFill="background1" w:themeFillShade="BF"/>
            <w:noWrap/>
          </w:tcPr>
          <w:p w:rsidR="004B4774" w:rsidRPr="00FB505C" w:rsidRDefault="004B4774" w:rsidP="009A5A02">
            <w:pPr>
              <w:rPr>
                <w:rFonts w:ascii="Arial" w:hAnsi="Arial" w:cs="Arial"/>
                <w:color w:val="000000"/>
              </w:rPr>
            </w:pPr>
            <w:r w:rsidRPr="00FB505C">
              <w:rPr>
                <w:rFonts w:ascii="Arial" w:hAnsi="Arial" w:cs="Arial"/>
                <w:color w:val="000000"/>
              </w:rPr>
              <w:t>Flats</w:t>
            </w:r>
          </w:p>
        </w:tc>
        <w:tc>
          <w:tcPr>
            <w:tcW w:w="899" w:type="dxa"/>
            <w:noWrap/>
            <w:vAlign w:val="bottom"/>
          </w:tcPr>
          <w:p w:rsidR="004B4774" w:rsidRPr="00886026" w:rsidRDefault="004B4774" w:rsidP="009A5A02">
            <w:pPr>
              <w:rPr>
                <w:rFonts w:cstheme="minorHAnsi"/>
                <w:color w:val="000000"/>
                <w:sz w:val="18"/>
              </w:rPr>
            </w:pPr>
            <w:r w:rsidRPr="00886026">
              <w:rPr>
                <w:rFonts w:cstheme="minorHAnsi"/>
                <w:color w:val="000000"/>
                <w:sz w:val="18"/>
              </w:rPr>
              <w:t>198,590</w:t>
            </w:r>
          </w:p>
        </w:tc>
        <w:tc>
          <w:tcPr>
            <w:tcW w:w="899" w:type="dxa"/>
            <w:noWrap/>
            <w:vAlign w:val="bottom"/>
          </w:tcPr>
          <w:p w:rsidR="004B4774" w:rsidRPr="00886026" w:rsidRDefault="004B4774" w:rsidP="009A5A02">
            <w:pPr>
              <w:rPr>
                <w:rFonts w:cstheme="minorHAnsi"/>
                <w:color w:val="000000"/>
                <w:sz w:val="18"/>
              </w:rPr>
            </w:pPr>
            <w:r w:rsidRPr="00886026">
              <w:rPr>
                <w:rFonts w:cstheme="minorHAnsi"/>
                <w:color w:val="000000"/>
                <w:sz w:val="18"/>
              </w:rPr>
              <w:t>186,750</w:t>
            </w:r>
          </w:p>
        </w:tc>
        <w:tc>
          <w:tcPr>
            <w:tcW w:w="899" w:type="dxa"/>
            <w:noWrap/>
            <w:vAlign w:val="bottom"/>
          </w:tcPr>
          <w:p w:rsidR="004B4774" w:rsidRPr="00886026" w:rsidRDefault="004B4774" w:rsidP="009A5A02">
            <w:pPr>
              <w:rPr>
                <w:rFonts w:cstheme="minorHAnsi"/>
                <w:color w:val="000000"/>
                <w:sz w:val="18"/>
              </w:rPr>
            </w:pPr>
            <w:r w:rsidRPr="00886026">
              <w:rPr>
                <w:rFonts w:cstheme="minorHAnsi"/>
                <w:color w:val="000000"/>
                <w:sz w:val="18"/>
              </w:rPr>
              <w:t>185,100</w:t>
            </w:r>
          </w:p>
        </w:tc>
        <w:tc>
          <w:tcPr>
            <w:tcW w:w="899" w:type="dxa"/>
            <w:noWrap/>
            <w:vAlign w:val="bottom"/>
          </w:tcPr>
          <w:p w:rsidR="004B4774" w:rsidRPr="00886026" w:rsidRDefault="004B4774" w:rsidP="009A5A02">
            <w:pPr>
              <w:rPr>
                <w:rFonts w:cstheme="minorHAnsi"/>
                <w:color w:val="000000"/>
                <w:sz w:val="18"/>
              </w:rPr>
            </w:pPr>
            <w:r w:rsidRPr="00886026">
              <w:rPr>
                <w:rFonts w:cstheme="minorHAnsi"/>
                <w:color w:val="000000"/>
                <w:sz w:val="18"/>
              </w:rPr>
              <w:t>212,667</w:t>
            </w:r>
          </w:p>
        </w:tc>
        <w:tc>
          <w:tcPr>
            <w:tcW w:w="899" w:type="dxa"/>
            <w:noWrap/>
            <w:vAlign w:val="bottom"/>
          </w:tcPr>
          <w:p w:rsidR="004B4774" w:rsidRPr="00886026" w:rsidRDefault="004B4774" w:rsidP="009A5A02">
            <w:pPr>
              <w:rPr>
                <w:rFonts w:cstheme="minorHAnsi"/>
                <w:color w:val="000000"/>
                <w:sz w:val="18"/>
              </w:rPr>
            </w:pPr>
            <w:r w:rsidRPr="00886026">
              <w:rPr>
                <w:rFonts w:cstheme="minorHAnsi"/>
                <w:color w:val="000000"/>
                <w:sz w:val="18"/>
              </w:rPr>
              <w:t>162,440</w:t>
            </w:r>
          </w:p>
        </w:tc>
        <w:tc>
          <w:tcPr>
            <w:tcW w:w="899" w:type="dxa"/>
            <w:noWrap/>
            <w:vAlign w:val="bottom"/>
          </w:tcPr>
          <w:p w:rsidR="004B4774" w:rsidRPr="00886026" w:rsidRDefault="004B4774" w:rsidP="009A5A02">
            <w:pPr>
              <w:rPr>
                <w:rFonts w:cstheme="minorHAnsi"/>
                <w:color w:val="000000"/>
                <w:sz w:val="18"/>
              </w:rPr>
            </w:pPr>
            <w:r w:rsidRPr="00886026">
              <w:rPr>
                <w:rFonts w:cstheme="minorHAnsi"/>
                <w:color w:val="000000"/>
                <w:sz w:val="18"/>
              </w:rPr>
              <w:t>231,500</w:t>
            </w:r>
          </w:p>
        </w:tc>
        <w:tc>
          <w:tcPr>
            <w:tcW w:w="899" w:type="dxa"/>
            <w:noWrap/>
            <w:vAlign w:val="bottom"/>
          </w:tcPr>
          <w:p w:rsidR="004B4774" w:rsidRPr="00886026" w:rsidRDefault="004B4774" w:rsidP="009A5A02">
            <w:pPr>
              <w:rPr>
                <w:rFonts w:cstheme="minorHAnsi"/>
                <w:color w:val="000000"/>
                <w:sz w:val="18"/>
              </w:rPr>
            </w:pPr>
            <w:r w:rsidRPr="00886026">
              <w:rPr>
                <w:rFonts w:cstheme="minorHAnsi"/>
                <w:color w:val="000000"/>
                <w:sz w:val="18"/>
              </w:rPr>
              <w:t>203,667</w:t>
            </w:r>
          </w:p>
        </w:tc>
        <w:tc>
          <w:tcPr>
            <w:tcW w:w="899" w:type="dxa"/>
            <w:noWrap/>
            <w:vAlign w:val="bottom"/>
          </w:tcPr>
          <w:p w:rsidR="004B4774" w:rsidRPr="00886026" w:rsidRDefault="004B4774" w:rsidP="009A5A02">
            <w:pPr>
              <w:rPr>
                <w:rFonts w:cstheme="minorHAnsi"/>
                <w:color w:val="000000"/>
                <w:sz w:val="18"/>
              </w:rPr>
            </w:pPr>
            <w:r w:rsidRPr="00886026">
              <w:rPr>
                <w:rFonts w:cstheme="minorHAnsi"/>
                <w:color w:val="000000"/>
                <w:sz w:val="18"/>
              </w:rPr>
              <w:t>213,886</w:t>
            </w:r>
          </w:p>
        </w:tc>
        <w:tc>
          <w:tcPr>
            <w:tcW w:w="899" w:type="dxa"/>
            <w:noWrap/>
            <w:vAlign w:val="bottom"/>
          </w:tcPr>
          <w:p w:rsidR="004B4774" w:rsidRPr="00886026" w:rsidRDefault="004B4774" w:rsidP="009A5A02">
            <w:pPr>
              <w:rPr>
                <w:rFonts w:cstheme="minorHAnsi"/>
                <w:color w:val="000000"/>
                <w:sz w:val="18"/>
              </w:rPr>
            </w:pPr>
            <w:r w:rsidRPr="00886026">
              <w:rPr>
                <w:rFonts w:cstheme="minorHAnsi"/>
                <w:color w:val="000000"/>
                <w:sz w:val="18"/>
              </w:rPr>
              <w:t>212,625</w:t>
            </w:r>
          </w:p>
        </w:tc>
        <w:tc>
          <w:tcPr>
            <w:tcW w:w="899" w:type="dxa"/>
            <w:noWrap/>
            <w:vAlign w:val="bottom"/>
          </w:tcPr>
          <w:p w:rsidR="004B4774" w:rsidRPr="00886026" w:rsidRDefault="004B4774" w:rsidP="009A5A02">
            <w:pPr>
              <w:rPr>
                <w:rFonts w:cstheme="minorHAnsi"/>
                <w:color w:val="000000"/>
                <w:sz w:val="18"/>
              </w:rPr>
            </w:pPr>
            <w:r w:rsidRPr="00886026">
              <w:rPr>
                <w:rFonts w:cstheme="minorHAnsi"/>
                <w:color w:val="000000"/>
                <w:sz w:val="18"/>
              </w:rPr>
              <w:t>284,993</w:t>
            </w:r>
          </w:p>
        </w:tc>
      </w:tr>
      <w:tr w:rsidR="004B4774" w:rsidRPr="00FB505C" w:rsidTr="009A5A02">
        <w:trPr>
          <w:trHeight w:val="216"/>
        </w:trPr>
        <w:tc>
          <w:tcPr>
            <w:tcW w:w="1075" w:type="dxa"/>
            <w:tcBorders>
              <w:bottom w:val="single" w:sz="4" w:space="0" w:color="auto"/>
            </w:tcBorders>
            <w:shd w:val="clear" w:color="auto" w:fill="BFBFBF" w:themeFill="background1" w:themeFillShade="BF"/>
            <w:noWrap/>
            <w:vAlign w:val="bottom"/>
          </w:tcPr>
          <w:p w:rsidR="004B4774" w:rsidRPr="00B61480" w:rsidRDefault="004B4774" w:rsidP="009A5A02">
            <w:pPr>
              <w:rPr>
                <w:rFonts w:ascii="Arial" w:hAnsi="Arial" w:cs="Arial"/>
                <w:color w:val="000000"/>
              </w:rPr>
            </w:pPr>
            <w:r w:rsidRPr="00B61480">
              <w:rPr>
                <w:rFonts w:ascii="Arial" w:hAnsi="Arial" w:cs="Arial"/>
                <w:color w:val="000000"/>
              </w:rPr>
              <w:t>All Types</w:t>
            </w:r>
          </w:p>
        </w:tc>
        <w:tc>
          <w:tcPr>
            <w:tcW w:w="899" w:type="dxa"/>
            <w:tcBorders>
              <w:bottom w:val="single" w:sz="4" w:space="0" w:color="auto"/>
            </w:tcBorders>
            <w:noWrap/>
            <w:vAlign w:val="bottom"/>
          </w:tcPr>
          <w:p w:rsidR="004B4774" w:rsidRPr="00886026" w:rsidRDefault="004B4774" w:rsidP="009A5A02">
            <w:pPr>
              <w:rPr>
                <w:rFonts w:cstheme="minorHAnsi"/>
                <w:color w:val="000000"/>
                <w:sz w:val="18"/>
              </w:rPr>
            </w:pPr>
            <w:r w:rsidRPr="00886026">
              <w:rPr>
                <w:rFonts w:cstheme="minorHAnsi"/>
                <w:color w:val="000000"/>
                <w:sz w:val="18"/>
              </w:rPr>
              <w:t>457,185</w:t>
            </w:r>
          </w:p>
        </w:tc>
        <w:tc>
          <w:tcPr>
            <w:tcW w:w="899" w:type="dxa"/>
            <w:tcBorders>
              <w:bottom w:val="single" w:sz="4" w:space="0" w:color="auto"/>
            </w:tcBorders>
            <w:noWrap/>
            <w:vAlign w:val="bottom"/>
          </w:tcPr>
          <w:p w:rsidR="004B4774" w:rsidRPr="00886026" w:rsidRDefault="004B4774" w:rsidP="009A5A02">
            <w:pPr>
              <w:rPr>
                <w:rFonts w:cstheme="minorHAnsi"/>
                <w:color w:val="000000"/>
                <w:sz w:val="18"/>
              </w:rPr>
            </w:pPr>
            <w:r w:rsidRPr="00886026">
              <w:rPr>
                <w:rFonts w:cstheme="minorHAnsi"/>
                <w:color w:val="000000"/>
                <w:sz w:val="18"/>
              </w:rPr>
              <w:t>411,468</w:t>
            </w:r>
          </w:p>
        </w:tc>
        <w:tc>
          <w:tcPr>
            <w:tcW w:w="899" w:type="dxa"/>
            <w:tcBorders>
              <w:bottom w:val="single" w:sz="4" w:space="0" w:color="auto"/>
            </w:tcBorders>
            <w:noWrap/>
            <w:vAlign w:val="bottom"/>
          </w:tcPr>
          <w:p w:rsidR="004B4774" w:rsidRPr="00886026" w:rsidRDefault="004B4774" w:rsidP="009A5A02">
            <w:pPr>
              <w:rPr>
                <w:rFonts w:cstheme="minorHAnsi"/>
                <w:color w:val="000000"/>
                <w:sz w:val="18"/>
              </w:rPr>
            </w:pPr>
            <w:r w:rsidRPr="00886026">
              <w:rPr>
                <w:rFonts w:cstheme="minorHAnsi"/>
                <w:color w:val="000000"/>
                <w:sz w:val="18"/>
              </w:rPr>
              <w:t>410,771</w:t>
            </w:r>
          </w:p>
        </w:tc>
        <w:tc>
          <w:tcPr>
            <w:tcW w:w="899" w:type="dxa"/>
            <w:tcBorders>
              <w:bottom w:val="single" w:sz="4" w:space="0" w:color="auto"/>
            </w:tcBorders>
            <w:noWrap/>
            <w:vAlign w:val="bottom"/>
          </w:tcPr>
          <w:p w:rsidR="004B4774" w:rsidRPr="00886026" w:rsidRDefault="004B4774" w:rsidP="009A5A02">
            <w:pPr>
              <w:rPr>
                <w:rFonts w:cstheme="minorHAnsi"/>
                <w:color w:val="000000"/>
                <w:sz w:val="18"/>
              </w:rPr>
            </w:pPr>
            <w:r w:rsidRPr="00886026">
              <w:rPr>
                <w:rFonts w:cstheme="minorHAnsi"/>
                <w:color w:val="000000"/>
                <w:sz w:val="18"/>
              </w:rPr>
              <w:t>427,804</w:t>
            </w:r>
          </w:p>
        </w:tc>
        <w:tc>
          <w:tcPr>
            <w:tcW w:w="899" w:type="dxa"/>
            <w:tcBorders>
              <w:bottom w:val="single" w:sz="4" w:space="0" w:color="auto"/>
            </w:tcBorders>
            <w:noWrap/>
            <w:vAlign w:val="bottom"/>
          </w:tcPr>
          <w:p w:rsidR="004B4774" w:rsidRPr="00886026" w:rsidRDefault="004B4774" w:rsidP="009A5A02">
            <w:pPr>
              <w:rPr>
                <w:rFonts w:cstheme="minorHAnsi"/>
                <w:color w:val="000000"/>
                <w:sz w:val="18"/>
              </w:rPr>
            </w:pPr>
            <w:r w:rsidRPr="00886026">
              <w:rPr>
                <w:rFonts w:cstheme="minorHAnsi"/>
                <w:color w:val="000000"/>
                <w:sz w:val="18"/>
              </w:rPr>
              <w:t>395,738</w:t>
            </w:r>
          </w:p>
        </w:tc>
        <w:tc>
          <w:tcPr>
            <w:tcW w:w="899" w:type="dxa"/>
            <w:tcBorders>
              <w:bottom w:val="single" w:sz="4" w:space="0" w:color="auto"/>
            </w:tcBorders>
            <w:noWrap/>
            <w:vAlign w:val="bottom"/>
          </w:tcPr>
          <w:p w:rsidR="004B4774" w:rsidRPr="00886026" w:rsidRDefault="004B4774" w:rsidP="009A5A02">
            <w:pPr>
              <w:rPr>
                <w:rFonts w:cstheme="minorHAnsi"/>
                <w:color w:val="000000"/>
                <w:sz w:val="18"/>
              </w:rPr>
            </w:pPr>
            <w:r w:rsidRPr="00886026">
              <w:rPr>
                <w:rFonts w:cstheme="minorHAnsi"/>
                <w:color w:val="000000"/>
                <w:sz w:val="18"/>
              </w:rPr>
              <w:t>406,669</w:t>
            </w:r>
          </w:p>
        </w:tc>
        <w:tc>
          <w:tcPr>
            <w:tcW w:w="899" w:type="dxa"/>
            <w:tcBorders>
              <w:bottom w:val="single" w:sz="4" w:space="0" w:color="auto"/>
            </w:tcBorders>
            <w:noWrap/>
            <w:vAlign w:val="bottom"/>
          </w:tcPr>
          <w:p w:rsidR="004B4774" w:rsidRPr="00886026" w:rsidRDefault="004B4774" w:rsidP="009A5A02">
            <w:pPr>
              <w:rPr>
                <w:rFonts w:cstheme="minorHAnsi"/>
                <w:color w:val="000000"/>
                <w:sz w:val="18"/>
              </w:rPr>
            </w:pPr>
            <w:r w:rsidRPr="00886026">
              <w:rPr>
                <w:rFonts w:cstheme="minorHAnsi"/>
                <w:color w:val="000000"/>
                <w:sz w:val="18"/>
              </w:rPr>
              <w:t>520,682</w:t>
            </w:r>
          </w:p>
        </w:tc>
        <w:tc>
          <w:tcPr>
            <w:tcW w:w="899" w:type="dxa"/>
            <w:tcBorders>
              <w:bottom w:val="single" w:sz="4" w:space="0" w:color="auto"/>
            </w:tcBorders>
            <w:noWrap/>
            <w:vAlign w:val="bottom"/>
          </w:tcPr>
          <w:p w:rsidR="004B4774" w:rsidRPr="00886026" w:rsidRDefault="004B4774" w:rsidP="009A5A02">
            <w:pPr>
              <w:rPr>
                <w:rFonts w:cstheme="minorHAnsi"/>
                <w:color w:val="000000"/>
                <w:sz w:val="18"/>
              </w:rPr>
            </w:pPr>
            <w:r w:rsidRPr="00886026">
              <w:rPr>
                <w:rFonts w:cstheme="minorHAnsi"/>
                <w:color w:val="000000"/>
                <w:sz w:val="18"/>
              </w:rPr>
              <w:t>487,874</w:t>
            </w:r>
          </w:p>
        </w:tc>
        <w:tc>
          <w:tcPr>
            <w:tcW w:w="899" w:type="dxa"/>
            <w:tcBorders>
              <w:bottom w:val="single" w:sz="4" w:space="0" w:color="auto"/>
            </w:tcBorders>
            <w:noWrap/>
            <w:vAlign w:val="bottom"/>
          </w:tcPr>
          <w:p w:rsidR="004B4774" w:rsidRPr="00886026" w:rsidRDefault="004B4774" w:rsidP="009A5A02">
            <w:pPr>
              <w:rPr>
                <w:rFonts w:cstheme="minorHAnsi"/>
                <w:color w:val="000000"/>
                <w:sz w:val="18"/>
              </w:rPr>
            </w:pPr>
            <w:r w:rsidRPr="00886026">
              <w:rPr>
                <w:rFonts w:cstheme="minorHAnsi"/>
                <w:color w:val="000000"/>
                <w:sz w:val="18"/>
              </w:rPr>
              <w:t>480,680</w:t>
            </w:r>
          </w:p>
        </w:tc>
        <w:tc>
          <w:tcPr>
            <w:tcW w:w="899" w:type="dxa"/>
            <w:tcBorders>
              <w:bottom w:val="single" w:sz="4" w:space="0" w:color="auto"/>
            </w:tcBorders>
            <w:noWrap/>
            <w:vAlign w:val="bottom"/>
          </w:tcPr>
          <w:p w:rsidR="004B4774" w:rsidRPr="00886026" w:rsidRDefault="004B4774" w:rsidP="009A5A02">
            <w:pPr>
              <w:rPr>
                <w:rFonts w:cstheme="minorHAnsi"/>
                <w:color w:val="000000"/>
                <w:sz w:val="18"/>
              </w:rPr>
            </w:pPr>
            <w:r w:rsidRPr="00886026">
              <w:rPr>
                <w:rFonts w:cstheme="minorHAnsi"/>
                <w:color w:val="000000"/>
                <w:sz w:val="18"/>
              </w:rPr>
              <w:t>541,512</w:t>
            </w:r>
          </w:p>
        </w:tc>
      </w:tr>
    </w:tbl>
    <w:p w:rsidR="004B4774" w:rsidRPr="00FF08C3" w:rsidRDefault="004B4774" w:rsidP="004B4774">
      <w:pPr>
        <w:pStyle w:val="Source"/>
      </w:pPr>
      <w:r w:rsidRPr="00FF08C3">
        <w:t xml:space="preserve">Source: Land Registry PPD, AECOM </w:t>
      </w:r>
      <w:r w:rsidR="001157B7">
        <w:t>c</w:t>
      </w:r>
      <w:r w:rsidRPr="00FF08C3">
        <w:t>alculations</w:t>
      </w:r>
    </w:p>
    <w:p w:rsidR="004B4774" w:rsidRDefault="004B4774" w:rsidP="004B4774">
      <w:pPr>
        <w:pStyle w:val="ListNumber"/>
        <w:rPr>
          <w:lang w:val="en-US"/>
        </w:rPr>
      </w:pPr>
      <w:r>
        <w:rPr>
          <w:lang w:val="en-US"/>
        </w:rPr>
        <w:t xml:space="preserve">The house prices growth indicates a strong demand in the NPA, especially for terraced house and flats. The </w:t>
      </w:r>
      <w:r w:rsidR="005F5CF8">
        <w:rPr>
          <w:lang w:val="en-US"/>
        </w:rPr>
        <w:t>District</w:t>
      </w:r>
      <w:r>
        <w:rPr>
          <w:lang w:val="en-US"/>
        </w:rPr>
        <w:t xml:space="preserve"> also experienced a strong demand between 2007 and 2016 with an overall house prices growth at 33% as shown in </w:t>
      </w:r>
      <w:r w:rsidR="00B25544">
        <w:rPr>
          <w:lang w:val="en-US"/>
        </w:rPr>
        <w:lastRenderedPageBreak/>
        <w:fldChar w:fldCharType="begin"/>
      </w:r>
      <w:r w:rsidR="00B25544">
        <w:rPr>
          <w:lang w:val="en-US"/>
        </w:rPr>
        <w:instrText xml:space="preserve"> REF _Ref495651844 \h </w:instrText>
      </w:r>
      <w:r w:rsidR="00B25544">
        <w:rPr>
          <w:lang w:val="en-US"/>
        </w:rPr>
      </w:r>
      <w:r w:rsidR="00B25544">
        <w:rPr>
          <w:lang w:val="en-US"/>
        </w:rPr>
        <w:fldChar w:fldCharType="separate"/>
      </w:r>
      <w:r w:rsidR="00B25544">
        <w:t xml:space="preserve">Table </w:t>
      </w:r>
      <w:r w:rsidR="00B25544">
        <w:rPr>
          <w:noProof/>
        </w:rPr>
        <w:t>23</w:t>
      </w:r>
      <w:r w:rsidR="00B25544">
        <w:rPr>
          <w:lang w:val="en-US"/>
        </w:rPr>
        <w:fldChar w:fldCharType="end"/>
      </w:r>
      <w:r>
        <w:rPr>
          <w:lang w:val="en-US"/>
        </w:rPr>
        <w:t xml:space="preserve">. Detached houses prices and semi-detached houses prices increased respectively by 41% and 34% in </w:t>
      </w:r>
      <w:proofErr w:type="spellStart"/>
      <w:r>
        <w:rPr>
          <w:lang w:val="en-US"/>
        </w:rPr>
        <w:t>Chichester</w:t>
      </w:r>
      <w:proofErr w:type="spellEnd"/>
      <w:r>
        <w:rPr>
          <w:lang w:val="en-US"/>
        </w:rPr>
        <w:t xml:space="preserve"> between 2007 and 2016. </w:t>
      </w:r>
    </w:p>
    <w:p w:rsidR="004B4774" w:rsidRPr="0061240C" w:rsidRDefault="004B4774" w:rsidP="004B4774">
      <w:pPr>
        <w:pStyle w:val="ListNumber"/>
        <w:rPr>
          <w:lang w:val="en-US"/>
        </w:rPr>
      </w:pPr>
      <w:r>
        <w:rPr>
          <w:lang w:val="en-US"/>
        </w:rPr>
        <w:t>A</w:t>
      </w:r>
      <w:r w:rsidRPr="00B37F02">
        <w:rPr>
          <w:lang w:val="en-US"/>
        </w:rPr>
        <w:t>lthough</w:t>
      </w:r>
      <w:r>
        <w:rPr>
          <w:lang w:val="en-US"/>
        </w:rPr>
        <w:t xml:space="preserve"> price growth in West </w:t>
      </w:r>
      <w:proofErr w:type="spellStart"/>
      <w:r>
        <w:rPr>
          <w:lang w:val="en-US"/>
        </w:rPr>
        <w:t>Wittering</w:t>
      </w:r>
      <w:proofErr w:type="spellEnd"/>
      <w:r w:rsidRPr="00B37F02">
        <w:rPr>
          <w:lang w:val="en-US"/>
        </w:rPr>
        <w:t xml:space="preserve"> </w:t>
      </w:r>
      <w:r>
        <w:rPr>
          <w:lang w:val="en-US"/>
        </w:rPr>
        <w:t>has been relatively lower on average</w:t>
      </w:r>
      <w:r w:rsidRPr="00B37F02">
        <w:rPr>
          <w:lang w:val="en-US"/>
        </w:rPr>
        <w:t xml:space="preserve"> (18%) </w:t>
      </w:r>
      <w:r>
        <w:rPr>
          <w:lang w:val="en-US"/>
        </w:rPr>
        <w:t xml:space="preserve">compared with </w:t>
      </w:r>
      <w:proofErr w:type="spellStart"/>
      <w:r>
        <w:rPr>
          <w:lang w:val="en-US"/>
        </w:rPr>
        <w:t>Chichester</w:t>
      </w:r>
      <w:proofErr w:type="spellEnd"/>
      <w:r>
        <w:rPr>
          <w:lang w:val="en-US"/>
        </w:rPr>
        <w:t>, this has been from a higher base as house p</w:t>
      </w:r>
      <w:r w:rsidRPr="00B37F02">
        <w:rPr>
          <w:lang w:val="en-US"/>
        </w:rPr>
        <w:t xml:space="preserve">rices in West </w:t>
      </w:r>
      <w:proofErr w:type="spellStart"/>
      <w:r w:rsidRPr="00B37F02">
        <w:rPr>
          <w:lang w:val="en-US"/>
        </w:rPr>
        <w:t>Wittering</w:t>
      </w:r>
      <w:proofErr w:type="spellEnd"/>
      <w:r w:rsidRPr="00B37F02">
        <w:rPr>
          <w:lang w:val="en-US"/>
        </w:rPr>
        <w:t xml:space="preserve"> are higher than the average for </w:t>
      </w:r>
      <w:proofErr w:type="spellStart"/>
      <w:r w:rsidRPr="00B37F02">
        <w:rPr>
          <w:lang w:val="en-US"/>
        </w:rPr>
        <w:t>Chichester</w:t>
      </w:r>
      <w:proofErr w:type="spellEnd"/>
      <w:r w:rsidRPr="00B37F02">
        <w:rPr>
          <w:lang w:val="en-US"/>
        </w:rPr>
        <w:t xml:space="preserve"> </w:t>
      </w:r>
      <w:r>
        <w:rPr>
          <w:lang w:val="en-US"/>
        </w:rPr>
        <w:t>as whole.</w:t>
      </w:r>
    </w:p>
    <w:p w:rsidR="004B4774" w:rsidRDefault="004B4774" w:rsidP="004B4774">
      <w:pPr>
        <w:pStyle w:val="Caption"/>
      </w:pPr>
      <w:bookmarkStart w:id="165" w:name="_Ref495651844"/>
      <w:bookmarkStart w:id="166" w:name="_Toc495920053"/>
      <w:bookmarkStart w:id="167" w:name="_Ref504465347"/>
      <w:r>
        <w:t xml:space="preserve">Table </w:t>
      </w:r>
      <w:fldSimple w:instr=" SEQ Table \* ARABIC ">
        <w:r w:rsidR="00B25544">
          <w:rPr>
            <w:noProof/>
          </w:rPr>
          <w:t>23</w:t>
        </w:r>
      </w:fldSimple>
      <w:bookmarkEnd w:id="165"/>
      <w:r>
        <w:t xml:space="preserve">: </w:t>
      </w:r>
      <w:r w:rsidRPr="00CC6291">
        <w:t xml:space="preserve">Price comparison for January 2007 and December 2016, </w:t>
      </w:r>
      <w:r>
        <w:t>West Wittering</w:t>
      </w:r>
      <w:r w:rsidRPr="00CC6291">
        <w:t xml:space="preserve"> and </w:t>
      </w:r>
      <w:r>
        <w:t>Chichester</w:t>
      </w:r>
      <w:bookmarkEnd w:id="166"/>
      <w:bookmarkEnd w:id="167"/>
    </w:p>
    <w:tbl>
      <w:tblPr>
        <w:tblW w:w="0" w:type="auto"/>
        <w:tblInd w:w="93" w:type="dxa"/>
        <w:tblLayout w:type="fixed"/>
        <w:tblLook w:val="04A0" w:firstRow="1" w:lastRow="0" w:firstColumn="1" w:lastColumn="0" w:noHBand="0" w:noVBand="1"/>
      </w:tblPr>
      <w:tblGrid>
        <w:gridCol w:w="1060"/>
        <w:gridCol w:w="1365"/>
        <w:gridCol w:w="1418"/>
        <w:gridCol w:w="1275"/>
        <w:gridCol w:w="1276"/>
        <w:gridCol w:w="10"/>
        <w:gridCol w:w="1408"/>
        <w:gridCol w:w="1337"/>
      </w:tblGrid>
      <w:tr w:rsidR="004B4774" w:rsidRPr="007C7906" w:rsidTr="009A5A02">
        <w:trPr>
          <w:trHeight w:val="288"/>
        </w:trPr>
        <w:tc>
          <w:tcPr>
            <w:tcW w:w="1060" w:type="dxa"/>
            <w:tcBorders>
              <w:top w:val="single" w:sz="4" w:space="0" w:color="auto"/>
              <w:left w:val="single" w:sz="4" w:space="0" w:color="auto"/>
              <w:bottom w:val="single" w:sz="4" w:space="0" w:color="auto"/>
              <w:right w:val="single" w:sz="4" w:space="0" w:color="auto"/>
            </w:tcBorders>
            <w:shd w:val="clear" w:color="auto" w:fill="0D0D0D" w:themeFill="text1" w:themeFillTint="F2"/>
            <w:noWrap/>
            <w:vAlign w:val="bottom"/>
            <w:hideMark/>
          </w:tcPr>
          <w:p w:rsidR="004B4774" w:rsidRPr="007C7906" w:rsidRDefault="004B4774" w:rsidP="009A5A02">
            <w:pPr>
              <w:spacing w:line="240" w:lineRule="auto"/>
              <w:rPr>
                <w:rFonts w:ascii="Arial" w:eastAsia="Times New Roman" w:hAnsi="Arial" w:cs="Arial"/>
                <w:i/>
                <w:iCs/>
                <w:color w:val="FFFFFF" w:themeColor="background1"/>
                <w:lang w:eastAsia="en-GB"/>
              </w:rPr>
            </w:pPr>
            <w:r w:rsidRPr="007C7906">
              <w:rPr>
                <w:rFonts w:ascii="Arial" w:eastAsia="Times New Roman" w:hAnsi="Arial" w:cs="Arial"/>
                <w:i/>
                <w:iCs/>
                <w:color w:val="FFFFFF" w:themeColor="background1"/>
                <w:lang w:eastAsia="en-GB"/>
              </w:rPr>
              <w:t> </w:t>
            </w:r>
          </w:p>
        </w:tc>
        <w:tc>
          <w:tcPr>
            <w:tcW w:w="2783" w:type="dxa"/>
            <w:gridSpan w:val="2"/>
            <w:tcBorders>
              <w:top w:val="single" w:sz="4" w:space="0" w:color="auto"/>
              <w:left w:val="nil"/>
              <w:bottom w:val="single" w:sz="4" w:space="0" w:color="auto"/>
              <w:right w:val="single" w:sz="4" w:space="0" w:color="auto"/>
            </w:tcBorders>
            <w:shd w:val="clear" w:color="auto" w:fill="0D0D0D" w:themeFill="text1" w:themeFillTint="F2"/>
            <w:noWrap/>
            <w:vAlign w:val="bottom"/>
            <w:hideMark/>
          </w:tcPr>
          <w:p w:rsidR="004B4774" w:rsidRPr="007C6260" w:rsidRDefault="004B4774" w:rsidP="009A5A02">
            <w:pPr>
              <w:spacing w:line="240" w:lineRule="auto"/>
              <w:jc w:val="center"/>
              <w:rPr>
                <w:rFonts w:ascii="Arial" w:eastAsia="Times New Roman" w:hAnsi="Arial" w:cs="Arial"/>
                <w:iCs/>
                <w:color w:val="FFFFFF" w:themeColor="background1"/>
                <w:lang w:eastAsia="en-GB"/>
              </w:rPr>
            </w:pPr>
            <w:r w:rsidRPr="007C6260">
              <w:rPr>
                <w:rFonts w:ascii="Arial" w:eastAsia="Times New Roman" w:hAnsi="Arial" w:cs="Arial"/>
                <w:iCs/>
                <w:color w:val="FFFFFF" w:themeColor="background1"/>
                <w:lang w:eastAsia="en-GB"/>
              </w:rPr>
              <w:t>Prices in January 2007</w:t>
            </w:r>
          </w:p>
        </w:tc>
        <w:tc>
          <w:tcPr>
            <w:tcW w:w="2561" w:type="dxa"/>
            <w:gridSpan w:val="3"/>
            <w:tcBorders>
              <w:top w:val="single" w:sz="4" w:space="0" w:color="auto"/>
              <w:left w:val="nil"/>
              <w:bottom w:val="single" w:sz="4" w:space="0" w:color="auto"/>
              <w:right w:val="single" w:sz="4" w:space="0" w:color="auto"/>
            </w:tcBorders>
            <w:shd w:val="clear" w:color="auto" w:fill="0D0D0D" w:themeFill="text1" w:themeFillTint="F2"/>
            <w:noWrap/>
            <w:vAlign w:val="bottom"/>
            <w:hideMark/>
          </w:tcPr>
          <w:p w:rsidR="004B4774" w:rsidRPr="007C6260" w:rsidRDefault="004B4774" w:rsidP="009A5A02">
            <w:pPr>
              <w:spacing w:line="240" w:lineRule="auto"/>
              <w:rPr>
                <w:rFonts w:ascii="Arial" w:eastAsia="Times New Roman" w:hAnsi="Arial" w:cs="Arial"/>
                <w:iCs/>
                <w:color w:val="FFFFFF" w:themeColor="background1"/>
                <w:lang w:eastAsia="en-GB"/>
              </w:rPr>
            </w:pPr>
            <w:r w:rsidRPr="007C6260">
              <w:rPr>
                <w:rFonts w:ascii="Arial" w:eastAsia="Times New Roman" w:hAnsi="Arial" w:cs="Arial"/>
                <w:iCs/>
                <w:color w:val="FFFFFF" w:themeColor="background1"/>
                <w:lang w:eastAsia="en-GB"/>
              </w:rPr>
              <w:t>Prices in December 2016</w:t>
            </w:r>
          </w:p>
        </w:tc>
        <w:tc>
          <w:tcPr>
            <w:tcW w:w="2745" w:type="dxa"/>
            <w:gridSpan w:val="2"/>
            <w:tcBorders>
              <w:top w:val="single" w:sz="4" w:space="0" w:color="auto"/>
              <w:left w:val="nil"/>
              <w:bottom w:val="single" w:sz="4" w:space="0" w:color="auto"/>
              <w:right w:val="single" w:sz="4" w:space="0" w:color="auto"/>
            </w:tcBorders>
            <w:shd w:val="clear" w:color="auto" w:fill="0D0D0D" w:themeFill="text1" w:themeFillTint="F2"/>
            <w:vAlign w:val="bottom"/>
          </w:tcPr>
          <w:p w:rsidR="004B4774" w:rsidRPr="007C6260" w:rsidRDefault="004B4774" w:rsidP="009A5A02">
            <w:pPr>
              <w:spacing w:line="240" w:lineRule="auto"/>
              <w:rPr>
                <w:rFonts w:ascii="Arial" w:eastAsia="Times New Roman" w:hAnsi="Arial" w:cs="Arial"/>
                <w:iCs/>
                <w:color w:val="FFFFFF" w:themeColor="background1"/>
                <w:lang w:eastAsia="en-GB"/>
              </w:rPr>
            </w:pPr>
            <w:r w:rsidRPr="007C6260">
              <w:rPr>
                <w:rFonts w:ascii="Arial" w:eastAsia="Times New Roman" w:hAnsi="Arial" w:cs="Arial"/>
                <w:iCs/>
                <w:color w:val="FFFFFF" w:themeColor="background1"/>
                <w:lang w:eastAsia="en-GB"/>
              </w:rPr>
              <w:t>Percentage Growth in Prices</w:t>
            </w:r>
          </w:p>
        </w:tc>
      </w:tr>
      <w:tr w:rsidR="004B4774" w:rsidRPr="007C7906" w:rsidTr="009A5A02">
        <w:trPr>
          <w:trHeight w:val="288"/>
        </w:trPr>
        <w:tc>
          <w:tcPr>
            <w:tcW w:w="1060" w:type="dxa"/>
            <w:tcBorders>
              <w:top w:val="nil"/>
              <w:left w:val="single" w:sz="4" w:space="0" w:color="auto"/>
              <w:bottom w:val="single" w:sz="4" w:space="0" w:color="auto"/>
              <w:right w:val="single" w:sz="4" w:space="0" w:color="auto"/>
            </w:tcBorders>
            <w:shd w:val="clear" w:color="auto" w:fill="0D0D0D" w:themeFill="text1" w:themeFillTint="F2"/>
            <w:noWrap/>
            <w:vAlign w:val="bottom"/>
            <w:hideMark/>
          </w:tcPr>
          <w:p w:rsidR="004B4774" w:rsidRPr="007C7906" w:rsidRDefault="004B4774" w:rsidP="009A5A02">
            <w:pPr>
              <w:spacing w:line="240" w:lineRule="auto"/>
              <w:rPr>
                <w:rFonts w:ascii="Arial" w:eastAsia="Times New Roman" w:hAnsi="Arial" w:cs="Arial"/>
                <w:i/>
                <w:iCs/>
                <w:color w:val="FFFFFF" w:themeColor="background1"/>
                <w:lang w:eastAsia="en-GB"/>
              </w:rPr>
            </w:pPr>
            <w:r w:rsidRPr="007C7906">
              <w:rPr>
                <w:rFonts w:ascii="Arial" w:eastAsia="Times New Roman" w:hAnsi="Arial" w:cs="Arial"/>
                <w:i/>
                <w:iCs/>
                <w:color w:val="FFFFFF" w:themeColor="background1"/>
                <w:lang w:eastAsia="en-GB"/>
              </w:rPr>
              <w:t> </w:t>
            </w:r>
          </w:p>
        </w:tc>
        <w:tc>
          <w:tcPr>
            <w:tcW w:w="1365" w:type="dxa"/>
            <w:tcBorders>
              <w:top w:val="nil"/>
              <w:left w:val="nil"/>
              <w:bottom w:val="single" w:sz="4" w:space="0" w:color="auto"/>
              <w:right w:val="single" w:sz="4" w:space="0" w:color="auto"/>
            </w:tcBorders>
            <w:shd w:val="clear" w:color="auto" w:fill="0D0D0D" w:themeFill="text1" w:themeFillTint="F2"/>
            <w:noWrap/>
            <w:vAlign w:val="bottom"/>
            <w:hideMark/>
          </w:tcPr>
          <w:p w:rsidR="004B4774" w:rsidRPr="007C6260" w:rsidRDefault="004B4774" w:rsidP="009A5A02">
            <w:pPr>
              <w:spacing w:line="240" w:lineRule="auto"/>
              <w:jc w:val="center"/>
              <w:rPr>
                <w:rFonts w:ascii="Arial" w:eastAsia="Times New Roman" w:hAnsi="Arial" w:cs="Arial"/>
                <w:iCs/>
                <w:color w:val="FFFFFF" w:themeColor="background1"/>
                <w:lang w:eastAsia="en-GB"/>
              </w:rPr>
            </w:pPr>
            <w:r>
              <w:rPr>
                <w:rFonts w:ascii="Arial" w:eastAsia="Times New Roman" w:hAnsi="Arial" w:cs="Arial"/>
                <w:iCs/>
                <w:color w:val="FFFFFF" w:themeColor="background1"/>
                <w:lang w:eastAsia="en-GB"/>
              </w:rPr>
              <w:t>West Wittering</w:t>
            </w:r>
          </w:p>
        </w:tc>
        <w:tc>
          <w:tcPr>
            <w:tcW w:w="1418" w:type="dxa"/>
            <w:tcBorders>
              <w:top w:val="nil"/>
              <w:left w:val="nil"/>
              <w:bottom w:val="single" w:sz="4" w:space="0" w:color="auto"/>
              <w:right w:val="single" w:sz="4" w:space="0" w:color="auto"/>
            </w:tcBorders>
            <w:shd w:val="clear" w:color="auto" w:fill="0D0D0D" w:themeFill="text1" w:themeFillTint="F2"/>
            <w:noWrap/>
            <w:vAlign w:val="bottom"/>
            <w:hideMark/>
          </w:tcPr>
          <w:p w:rsidR="004B4774" w:rsidRPr="007C6260" w:rsidRDefault="004B4774" w:rsidP="009A5A02">
            <w:pPr>
              <w:spacing w:line="240" w:lineRule="auto"/>
              <w:jc w:val="center"/>
              <w:rPr>
                <w:rFonts w:ascii="Arial" w:eastAsia="Times New Roman" w:hAnsi="Arial" w:cs="Arial"/>
                <w:iCs/>
                <w:color w:val="FFFFFF" w:themeColor="background1"/>
                <w:lang w:eastAsia="en-GB"/>
              </w:rPr>
            </w:pPr>
            <w:r>
              <w:rPr>
                <w:rFonts w:ascii="Arial" w:eastAsia="Times New Roman" w:hAnsi="Arial" w:cs="Arial"/>
                <w:iCs/>
                <w:color w:val="FFFFFF" w:themeColor="background1"/>
                <w:lang w:eastAsia="en-GB"/>
              </w:rPr>
              <w:t>Chichester</w:t>
            </w:r>
          </w:p>
        </w:tc>
        <w:tc>
          <w:tcPr>
            <w:tcW w:w="1275" w:type="dxa"/>
            <w:tcBorders>
              <w:top w:val="nil"/>
              <w:left w:val="nil"/>
              <w:bottom w:val="single" w:sz="4" w:space="0" w:color="auto"/>
              <w:right w:val="single" w:sz="4" w:space="0" w:color="auto"/>
            </w:tcBorders>
            <w:shd w:val="clear" w:color="auto" w:fill="0D0D0D" w:themeFill="text1" w:themeFillTint="F2"/>
            <w:noWrap/>
            <w:vAlign w:val="bottom"/>
            <w:hideMark/>
          </w:tcPr>
          <w:p w:rsidR="004B4774" w:rsidRPr="007C6260" w:rsidRDefault="004B4774" w:rsidP="009A5A02">
            <w:pPr>
              <w:spacing w:line="240" w:lineRule="auto"/>
              <w:jc w:val="center"/>
              <w:rPr>
                <w:rFonts w:ascii="Arial" w:eastAsia="Times New Roman" w:hAnsi="Arial" w:cs="Arial"/>
                <w:iCs/>
                <w:color w:val="FFFFFF" w:themeColor="background1"/>
                <w:lang w:eastAsia="en-GB"/>
              </w:rPr>
            </w:pPr>
            <w:r>
              <w:rPr>
                <w:rFonts w:ascii="Arial" w:eastAsia="Times New Roman" w:hAnsi="Arial" w:cs="Arial"/>
                <w:iCs/>
                <w:color w:val="FFFFFF" w:themeColor="background1"/>
                <w:lang w:eastAsia="en-GB"/>
              </w:rPr>
              <w:t>West Wittering</w:t>
            </w:r>
          </w:p>
        </w:tc>
        <w:tc>
          <w:tcPr>
            <w:tcW w:w="1276" w:type="dxa"/>
            <w:tcBorders>
              <w:top w:val="single" w:sz="4" w:space="0" w:color="auto"/>
              <w:left w:val="nil"/>
              <w:bottom w:val="single" w:sz="4" w:space="0" w:color="auto"/>
              <w:right w:val="single" w:sz="4" w:space="0" w:color="auto"/>
            </w:tcBorders>
            <w:shd w:val="clear" w:color="auto" w:fill="0D0D0D" w:themeFill="text1" w:themeFillTint="F2"/>
            <w:noWrap/>
            <w:vAlign w:val="bottom"/>
            <w:hideMark/>
          </w:tcPr>
          <w:p w:rsidR="004B4774" w:rsidRPr="007C6260" w:rsidRDefault="004B4774" w:rsidP="009A5A02">
            <w:pPr>
              <w:spacing w:line="240" w:lineRule="auto"/>
              <w:jc w:val="center"/>
              <w:rPr>
                <w:rFonts w:ascii="Arial" w:eastAsia="Times New Roman" w:hAnsi="Arial" w:cs="Arial"/>
                <w:iCs/>
                <w:color w:val="FFFFFF" w:themeColor="background1"/>
                <w:lang w:eastAsia="en-GB"/>
              </w:rPr>
            </w:pPr>
            <w:r>
              <w:rPr>
                <w:rFonts w:ascii="Arial" w:eastAsia="Times New Roman" w:hAnsi="Arial" w:cs="Arial"/>
                <w:iCs/>
                <w:color w:val="FFFFFF" w:themeColor="background1"/>
                <w:lang w:eastAsia="en-GB"/>
              </w:rPr>
              <w:t>Chichester</w:t>
            </w:r>
          </w:p>
        </w:tc>
        <w:tc>
          <w:tcPr>
            <w:tcW w:w="1418" w:type="dxa"/>
            <w:gridSpan w:val="2"/>
            <w:tcBorders>
              <w:top w:val="single" w:sz="4" w:space="0" w:color="auto"/>
              <w:left w:val="nil"/>
              <w:bottom w:val="single" w:sz="4" w:space="0" w:color="auto"/>
              <w:right w:val="single" w:sz="4" w:space="0" w:color="auto"/>
            </w:tcBorders>
            <w:shd w:val="clear" w:color="auto" w:fill="0D0D0D" w:themeFill="text1" w:themeFillTint="F2"/>
            <w:noWrap/>
            <w:vAlign w:val="bottom"/>
            <w:hideMark/>
          </w:tcPr>
          <w:p w:rsidR="004B4774" w:rsidRPr="007C6260" w:rsidRDefault="004B4774" w:rsidP="009A5A02">
            <w:pPr>
              <w:spacing w:line="240" w:lineRule="auto"/>
              <w:jc w:val="center"/>
              <w:rPr>
                <w:rFonts w:ascii="Arial" w:eastAsia="Times New Roman" w:hAnsi="Arial" w:cs="Arial"/>
                <w:iCs/>
                <w:color w:val="FFFFFF" w:themeColor="background1"/>
                <w:lang w:eastAsia="en-GB"/>
              </w:rPr>
            </w:pPr>
            <w:r>
              <w:rPr>
                <w:rFonts w:ascii="Arial" w:eastAsia="Times New Roman" w:hAnsi="Arial" w:cs="Arial"/>
                <w:iCs/>
                <w:color w:val="FFFFFF" w:themeColor="background1"/>
                <w:lang w:eastAsia="en-GB"/>
              </w:rPr>
              <w:t>West Wittering</w:t>
            </w:r>
          </w:p>
        </w:tc>
        <w:tc>
          <w:tcPr>
            <w:tcW w:w="1337" w:type="dxa"/>
            <w:tcBorders>
              <w:top w:val="nil"/>
              <w:left w:val="nil"/>
              <w:bottom w:val="single" w:sz="4" w:space="0" w:color="auto"/>
              <w:right w:val="single" w:sz="4" w:space="0" w:color="auto"/>
            </w:tcBorders>
            <w:shd w:val="clear" w:color="auto" w:fill="0D0D0D" w:themeFill="text1" w:themeFillTint="F2"/>
            <w:noWrap/>
            <w:vAlign w:val="bottom"/>
            <w:hideMark/>
          </w:tcPr>
          <w:p w:rsidR="004B4774" w:rsidRPr="007C6260" w:rsidRDefault="004B4774" w:rsidP="009A5A02">
            <w:pPr>
              <w:spacing w:line="240" w:lineRule="auto"/>
              <w:jc w:val="center"/>
              <w:rPr>
                <w:rFonts w:ascii="Arial" w:eastAsia="Times New Roman" w:hAnsi="Arial" w:cs="Arial"/>
                <w:iCs/>
                <w:color w:val="FFFFFF" w:themeColor="background1"/>
                <w:lang w:eastAsia="en-GB"/>
              </w:rPr>
            </w:pPr>
            <w:r>
              <w:rPr>
                <w:rFonts w:ascii="Arial" w:eastAsia="Times New Roman" w:hAnsi="Arial" w:cs="Arial"/>
                <w:iCs/>
                <w:color w:val="FFFFFF" w:themeColor="background1"/>
                <w:lang w:eastAsia="en-GB"/>
              </w:rPr>
              <w:t>Chichester</w:t>
            </w:r>
          </w:p>
        </w:tc>
      </w:tr>
      <w:tr w:rsidR="004B4774" w:rsidRPr="007C7906" w:rsidTr="009A5A02">
        <w:trPr>
          <w:trHeight w:val="288"/>
        </w:trPr>
        <w:tc>
          <w:tcPr>
            <w:tcW w:w="1060" w:type="dxa"/>
            <w:tcBorders>
              <w:top w:val="nil"/>
              <w:left w:val="single" w:sz="4" w:space="0" w:color="auto"/>
              <w:bottom w:val="single" w:sz="4" w:space="0" w:color="auto"/>
              <w:right w:val="single" w:sz="4" w:space="0" w:color="auto"/>
            </w:tcBorders>
            <w:shd w:val="clear" w:color="000000" w:fill="BFBFBF"/>
            <w:noWrap/>
            <w:vAlign w:val="bottom"/>
            <w:hideMark/>
          </w:tcPr>
          <w:p w:rsidR="004B4774" w:rsidRPr="007C7906" w:rsidRDefault="004B4774" w:rsidP="009A5A02">
            <w:pPr>
              <w:spacing w:line="240" w:lineRule="auto"/>
              <w:rPr>
                <w:rFonts w:ascii="Arial" w:eastAsia="Times New Roman" w:hAnsi="Arial" w:cs="Arial"/>
                <w:color w:val="000000"/>
                <w:lang w:eastAsia="en-GB"/>
              </w:rPr>
            </w:pPr>
            <w:r w:rsidRPr="007C7906">
              <w:rPr>
                <w:rFonts w:ascii="Arial" w:eastAsia="Times New Roman" w:hAnsi="Arial" w:cs="Arial"/>
                <w:color w:val="000000"/>
                <w:lang w:eastAsia="en-GB"/>
              </w:rPr>
              <w:t>Detached</w:t>
            </w:r>
          </w:p>
        </w:tc>
        <w:tc>
          <w:tcPr>
            <w:tcW w:w="1365" w:type="dxa"/>
            <w:tcBorders>
              <w:top w:val="nil"/>
              <w:left w:val="nil"/>
              <w:bottom w:val="single" w:sz="4" w:space="0" w:color="auto"/>
              <w:right w:val="single" w:sz="4" w:space="0" w:color="auto"/>
            </w:tcBorders>
            <w:shd w:val="clear" w:color="auto" w:fill="auto"/>
            <w:noWrap/>
            <w:vAlign w:val="bottom"/>
            <w:hideMark/>
          </w:tcPr>
          <w:p w:rsidR="004B4774" w:rsidRPr="00F162A9" w:rsidRDefault="004B4774" w:rsidP="009A5A02">
            <w:pPr>
              <w:spacing w:line="240" w:lineRule="auto"/>
              <w:jc w:val="right"/>
              <w:rPr>
                <w:rFonts w:eastAsia="Times New Roman" w:cstheme="minorHAnsi"/>
                <w:color w:val="000000"/>
                <w:lang w:eastAsia="en-GB"/>
              </w:rPr>
            </w:pPr>
            <w:r w:rsidRPr="00F162A9">
              <w:rPr>
                <w:rFonts w:cstheme="minorHAnsi"/>
                <w:color w:val="000000"/>
              </w:rPr>
              <w:t>£591,476</w:t>
            </w:r>
          </w:p>
        </w:tc>
        <w:tc>
          <w:tcPr>
            <w:tcW w:w="1418" w:type="dxa"/>
            <w:tcBorders>
              <w:top w:val="nil"/>
              <w:left w:val="nil"/>
              <w:bottom w:val="single" w:sz="4" w:space="0" w:color="auto"/>
              <w:right w:val="single" w:sz="4" w:space="0" w:color="auto"/>
            </w:tcBorders>
            <w:shd w:val="clear" w:color="auto" w:fill="auto"/>
            <w:noWrap/>
            <w:vAlign w:val="bottom"/>
            <w:hideMark/>
          </w:tcPr>
          <w:p w:rsidR="004B4774" w:rsidRPr="00F162A9" w:rsidRDefault="004B4774" w:rsidP="009A5A02">
            <w:pPr>
              <w:spacing w:line="240" w:lineRule="auto"/>
              <w:jc w:val="right"/>
              <w:rPr>
                <w:rFonts w:eastAsia="Times New Roman" w:cstheme="minorHAnsi"/>
                <w:color w:val="000000"/>
                <w:lang w:eastAsia="en-GB"/>
              </w:rPr>
            </w:pPr>
            <w:r w:rsidRPr="00F162A9">
              <w:rPr>
                <w:rFonts w:cstheme="minorHAnsi"/>
                <w:color w:val="000000"/>
              </w:rPr>
              <w:t>£400,060</w:t>
            </w:r>
          </w:p>
        </w:tc>
        <w:tc>
          <w:tcPr>
            <w:tcW w:w="1275" w:type="dxa"/>
            <w:tcBorders>
              <w:top w:val="nil"/>
              <w:left w:val="nil"/>
              <w:bottom w:val="single" w:sz="4" w:space="0" w:color="auto"/>
              <w:right w:val="single" w:sz="4" w:space="0" w:color="auto"/>
            </w:tcBorders>
            <w:shd w:val="clear" w:color="auto" w:fill="auto"/>
            <w:noWrap/>
            <w:vAlign w:val="bottom"/>
            <w:hideMark/>
          </w:tcPr>
          <w:p w:rsidR="004B4774" w:rsidRPr="00F162A9" w:rsidRDefault="004B4774" w:rsidP="009A5A02">
            <w:pPr>
              <w:spacing w:line="240" w:lineRule="auto"/>
              <w:jc w:val="right"/>
              <w:rPr>
                <w:rFonts w:eastAsia="Times New Roman" w:cstheme="minorHAnsi"/>
                <w:color w:val="000000"/>
                <w:lang w:eastAsia="en-GB"/>
              </w:rPr>
            </w:pPr>
            <w:r w:rsidRPr="00F162A9">
              <w:rPr>
                <w:rFonts w:cstheme="minorHAnsi"/>
                <w:color w:val="000000"/>
              </w:rPr>
              <w:t>£664,593</w:t>
            </w:r>
          </w:p>
        </w:tc>
        <w:tc>
          <w:tcPr>
            <w:tcW w:w="1276" w:type="dxa"/>
            <w:tcBorders>
              <w:top w:val="nil"/>
              <w:left w:val="nil"/>
              <w:bottom w:val="single" w:sz="4" w:space="0" w:color="auto"/>
              <w:right w:val="single" w:sz="4" w:space="0" w:color="auto"/>
            </w:tcBorders>
            <w:shd w:val="clear" w:color="auto" w:fill="auto"/>
            <w:noWrap/>
            <w:vAlign w:val="bottom"/>
            <w:hideMark/>
          </w:tcPr>
          <w:p w:rsidR="004B4774" w:rsidRPr="00F162A9" w:rsidRDefault="004B4774" w:rsidP="009A5A02">
            <w:pPr>
              <w:spacing w:line="240" w:lineRule="auto"/>
              <w:jc w:val="right"/>
              <w:rPr>
                <w:rFonts w:eastAsia="Times New Roman" w:cstheme="minorHAnsi"/>
                <w:color w:val="000000"/>
                <w:lang w:eastAsia="en-GB"/>
              </w:rPr>
            </w:pPr>
            <w:r w:rsidRPr="00F162A9">
              <w:rPr>
                <w:rFonts w:cstheme="minorHAnsi"/>
                <w:color w:val="000000"/>
              </w:rPr>
              <w:t>£562,604</w:t>
            </w:r>
          </w:p>
        </w:tc>
        <w:tc>
          <w:tcPr>
            <w:tcW w:w="1418" w:type="dxa"/>
            <w:gridSpan w:val="2"/>
            <w:tcBorders>
              <w:top w:val="nil"/>
              <w:left w:val="nil"/>
              <w:bottom w:val="single" w:sz="4" w:space="0" w:color="auto"/>
              <w:right w:val="single" w:sz="4" w:space="0" w:color="auto"/>
            </w:tcBorders>
            <w:shd w:val="clear" w:color="auto" w:fill="auto"/>
            <w:noWrap/>
            <w:vAlign w:val="bottom"/>
            <w:hideMark/>
          </w:tcPr>
          <w:p w:rsidR="004B4774" w:rsidRPr="00F162A9" w:rsidRDefault="004B4774" w:rsidP="009A5A02">
            <w:pPr>
              <w:rPr>
                <w:rFonts w:cstheme="minorHAnsi"/>
                <w:color w:val="000000"/>
              </w:rPr>
            </w:pPr>
            <w:r w:rsidRPr="00F162A9">
              <w:rPr>
                <w:rFonts w:cstheme="minorHAnsi"/>
                <w:color w:val="000000"/>
              </w:rPr>
              <w:t>12%</w:t>
            </w:r>
          </w:p>
        </w:tc>
        <w:tc>
          <w:tcPr>
            <w:tcW w:w="1337" w:type="dxa"/>
            <w:tcBorders>
              <w:top w:val="nil"/>
              <w:left w:val="nil"/>
              <w:bottom w:val="single" w:sz="4" w:space="0" w:color="auto"/>
              <w:right w:val="single" w:sz="4" w:space="0" w:color="auto"/>
            </w:tcBorders>
            <w:shd w:val="clear" w:color="auto" w:fill="auto"/>
            <w:noWrap/>
            <w:vAlign w:val="bottom"/>
            <w:hideMark/>
          </w:tcPr>
          <w:p w:rsidR="004B4774" w:rsidRPr="00F162A9" w:rsidRDefault="004B4774" w:rsidP="009A5A02">
            <w:pPr>
              <w:rPr>
                <w:rFonts w:cstheme="minorHAnsi"/>
                <w:color w:val="000000"/>
              </w:rPr>
            </w:pPr>
            <w:r w:rsidRPr="00F162A9">
              <w:rPr>
                <w:rFonts w:cstheme="minorHAnsi"/>
                <w:color w:val="000000"/>
              </w:rPr>
              <w:t>41%</w:t>
            </w:r>
          </w:p>
        </w:tc>
      </w:tr>
      <w:tr w:rsidR="004B4774" w:rsidRPr="007C7906" w:rsidTr="009A5A02">
        <w:trPr>
          <w:trHeight w:val="288"/>
        </w:trPr>
        <w:tc>
          <w:tcPr>
            <w:tcW w:w="1060" w:type="dxa"/>
            <w:tcBorders>
              <w:top w:val="nil"/>
              <w:left w:val="single" w:sz="4" w:space="0" w:color="auto"/>
              <w:bottom w:val="single" w:sz="4" w:space="0" w:color="auto"/>
              <w:right w:val="single" w:sz="4" w:space="0" w:color="auto"/>
            </w:tcBorders>
            <w:shd w:val="clear" w:color="000000" w:fill="BFBFBF"/>
            <w:noWrap/>
            <w:vAlign w:val="bottom"/>
            <w:hideMark/>
          </w:tcPr>
          <w:p w:rsidR="004B4774" w:rsidRPr="007C7906" w:rsidRDefault="004B4774" w:rsidP="009A5A02">
            <w:pPr>
              <w:spacing w:line="240" w:lineRule="auto"/>
              <w:rPr>
                <w:rFonts w:ascii="Arial" w:eastAsia="Times New Roman" w:hAnsi="Arial" w:cs="Arial"/>
                <w:color w:val="000000"/>
                <w:lang w:eastAsia="en-GB"/>
              </w:rPr>
            </w:pPr>
            <w:r w:rsidRPr="007C7906">
              <w:rPr>
                <w:rFonts w:ascii="Arial" w:eastAsia="Times New Roman" w:hAnsi="Arial" w:cs="Arial"/>
                <w:color w:val="000000"/>
                <w:lang w:eastAsia="en-GB"/>
              </w:rPr>
              <w:t>Semi-Detached</w:t>
            </w:r>
          </w:p>
        </w:tc>
        <w:tc>
          <w:tcPr>
            <w:tcW w:w="1365" w:type="dxa"/>
            <w:tcBorders>
              <w:top w:val="nil"/>
              <w:left w:val="nil"/>
              <w:bottom w:val="single" w:sz="4" w:space="0" w:color="auto"/>
              <w:right w:val="single" w:sz="4" w:space="0" w:color="auto"/>
            </w:tcBorders>
            <w:shd w:val="clear" w:color="auto" w:fill="auto"/>
            <w:noWrap/>
            <w:vAlign w:val="bottom"/>
            <w:hideMark/>
          </w:tcPr>
          <w:p w:rsidR="004B4774" w:rsidRPr="00F162A9" w:rsidRDefault="004B4774" w:rsidP="009A5A02">
            <w:pPr>
              <w:spacing w:line="240" w:lineRule="auto"/>
              <w:jc w:val="right"/>
              <w:rPr>
                <w:rFonts w:eastAsia="Times New Roman" w:cstheme="minorHAnsi"/>
                <w:color w:val="000000"/>
                <w:lang w:eastAsia="en-GB"/>
              </w:rPr>
            </w:pPr>
            <w:r w:rsidRPr="00F162A9">
              <w:rPr>
                <w:rFonts w:cstheme="minorHAnsi"/>
                <w:color w:val="000000"/>
              </w:rPr>
              <w:t>£279,040</w:t>
            </w:r>
          </w:p>
        </w:tc>
        <w:tc>
          <w:tcPr>
            <w:tcW w:w="1418" w:type="dxa"/>
            <w:tcBorders>
              <w:top w:val="nil"/>
              <w:left w:val="nil"/>
              <w:bottom w:val="single" w:sz="4" w:space="0" w:color="auto"/>
              <w:right w:val="single" w:sz="4" w:space="0" w:color="auto"/>
            </w:tcBorders>
            <w:shd w:val="clear" w:color="auto" w:fill="auto"/>
            <w:noWrap/>
            <w:vAlign w:val="bottom"/>
            <w:hideMark/>
          </w:tcPr>
          <w:p w:rsidR="004B4774" w:rsidRPr="00F162A9" w:rsidRDefault="004B4774" w:rsidP="009A5A02">
            <w:pPr>
              <w:spacing w:line="240" w:lineRule="auto"/>
              <w:jc w:val="right"/>
              <w:rPr>
                <w:rFonts w:eastAsia="Times New Roman" w:cstheme="minorHAnsi"/>
                <w:color w:val="000000"/>
                <w:lang w:eastAsia="en-GB"/>
              </w:rPr>
            </w:pPr>
            <w:r w:rsidRPr="00F162A9">
              <w:rPr>
                <w:rFonts w:cstheme="minorHAnsi"/>
                <w:color w:val="000000"/>
              </w:rPr>
              <w:t>£246,866</w:t>
            </w:r>
          </w:p>
        </w:tc>
        <w:tc>
          <w:tcPr>
            <w:tcW w:w="1275" w:type="dxa"/>
            <w:tcBorders>
              <w:top w:val="nil"/>
              <w:left w:val="nil"/>
              <w:bottom w:val="single" w:sz="4" w:space="0" w:color="auto"/>
              <w:right w:val="single" w:sz="4" w:space="0" w:color="auto"/>
            </w:tcBorders>
            <w:shd w:val="clear" w:color="auto" w:fill="auto"/>
            <w:noWrap/>
            <w:vAlign w:val="bottom"/>
            <w:hideMark/>
          </w:tcPr>
          <w:p w:rsidR="004B4774" w:rsidRPr="00F162A9" w:rsidRDefault="004B4774" w:rsidP="009A5A02">
            <w:pPr>
              <w:spacing w:line="240" w:lineRule="auto"/>
              <w:jc w:val="right"/>
              <w:rPr>
                <w:rFonts w:eastAsia="Times New Roman" w:cstheme="minorHAnsi"/>
                <w:color w:val="000000"/>
                <w:lang w:eastAsia="en-GB"/>
              </w:rPr>
            </w:pPr>
            <w:r w:rsidRPr="00F162A9">
              <w:rPr>
                <w:rFonts w:cstheme="minorHAnsi"/>
                <w:color w:val="000000"/>
              </w:rPr>
              <w:t>£319,341</w:t>
            </w:r>
          </w:p>
        </w:tc>
        <w:tc>
          <w:tcPr>
            <w:tcW w:w="1276" w:type="dxa"/>
            <w:tcBorders>
              <w:top w:val="nil"/>
              <w:left w:val="nil"/>
              <w:bottom w:val="single" w:sz="4" w:space="0" w:color="auto"/>
              <w:right w:val="single" w:sz="4" w:space="0" w:color="auto"/>
            </w:tcBorders>
            <w:shd w:val="clear" w:color="auto" w:fill="auto"/>
            <w:noWrap/>
            <w:vAlign w:val="bottom"/>
            <w:hideMark/>
          </w:tcPr>
          <w:p w:rsidR="004B4774" w:rsidRPr="00F162A9" w:rsidRDefault="004B4774" w:rsidP="009A5A02">
            <w:pPr>
              <w:spacing w:line="240" w:lineRule="auto"/>
              <w:jc w:val="right"/>
              <w:rPr>
                <w:rFonts w:eastAsia="Times New Roman" w:cstheme="minorHAnsi"/>
                <w:color w:val="000000"/>
                <w:lang w:eastAsia="en-GB"/>
              </w:rPr>
            </w:pPr>
            <w:r w:rsidRPr="00F162A9">
              <w:rPr>
                <w:rFonts w:cstheme="minorHAnsi"/>
                <w:color w:val="000000"/>
              </w:rPr>
              <w:t>£331,552</w:t>
            </w:r>
          </w:p>
        </w:tc>
        <w:tc>
          <w:tcPr>
            <w:tcW w:w="1418" w:type="dxa"/>
            <w:gridSpan w:val="2"/>
            <w:tcBorders>
              <w:top w:val="nil"/>
              <w:left w:val="nil"/>
              <w:bottom w:val="single" w:sz="4" w:space="0" w:color="auto"/>
              <w:right w:val="single" w:sz="4" w:space="0" w:color="auto"/>
            </w:tcBorders>
            <w:shd w:val="clear" w:color="auto" w:fill="auto"/>
            <w:noWrap/>
            <w:vAlign w:val="bottom"/>
            <w:hideMark/>
          </w:tcPr>
          <w:p w:rsidR="004B4774" w:rsidRPr="00F162A9" w:rsidRDefault="004B4774" w:rsidP="009A5A02">
            <w:pPr>
              <w:rPr>
                <w:rFonts w:cstheme="minorHAnsi"/>
                <w:color w:val="000000"/>
              </w:rPr>
            </w:pPr>
            <w:r w:rsidRPr="00F162A9">
              <w:rPr>
                <w:rFonts w:cstheme="minorHAnsi"/>
                <w:color w:val="000000"/>
              </w:rPr>
              <w:t>14%</w:t>
            </w:r>
          </w:p>
        </w:tc>
        <w:tc>
          <w:tcPr>
            <w:tcW w:w="1337" w:type="dxa"/>
            <w:tcBorders>
              <w:top w:val="nil"/>
              <w:left w:val="nil"/>
              <w:bottom w:val="single" w:sz="4" w:space="0" w:color="auto"/>
              <w:right w:val="single" w:sz="4" w:space="0" w:color="auto"/>
            </w:tcBorders>
            <w:shd w:val="clear" w:color="auto" w:fill="auto"/>
            <w:noWrap/>
            <w:vAlign w:val="bottom"/>
            <w:hideMark/>
          </w:tcPr>
          <w:p w:rsidR="004B4774" w:rsidRPr="00F162A9" w:rsidRDefault="004B4774" w:rsidP="009A5A02">
            <w:pPr>
              <w:rPr>
                <w:rFonts w:cstheme="minorHAnsi"/>
                <w:color w:val="000000"/>
              </w:rPr>
            </w:pPr>
            <w:r w:rsidRPr="00F162A9">
              <w:rPr>
                <w:rFonts w:cstheme="minorHAnsi"/>
                <w:color w:val="000000"/>
              </w:rPr>
              <w:t>34%</w:t>
            </w:r>
          </w:p>
        </w:tc>
      </w:tr>
      <w:tr w:rsidR="004B4774" w:rsidRPr="007C7906" w:rsidTr="009A5A02">
        <w:trPr>
          <w:trHeight w:val="288"/>
        </w:trPr>
        <w:tc>
          <w:tcPr>
            <w:tcW w:w="1060" w:type="dxa"/>
            <w:tcBorders>
              <w:top w:val="nil"/>
              <w:left w:val="single" w:sz="4" w:space="0" w:color="auto"/>
              <w:bottom w:val="single" w:sz="4" w:space="0" w:color="auto"/>
              <w:right w:val="single" w:sz="4" w:space="0" w:color="auto"/>
            </w:tcBorders>
            <w:shd w:val="clear" w:color="000000" w:fill="BFBFBF"/>
            <w:noWrap/>
            <w:vAlign w:val="bottom"/>
            <w:hideMark/>
          </w:tcPr>
          <w:p w:rsidR="004B4774" w:rsidRPr="007C7906" w:rsidRDefault="004B4774" w:rsidP="009A5A02">
            <w:pPr>
              <w:spacing w:line="240" w:lineRule="auto"/>
              <w:rPr>
                <w:rFonts w:ascii="Arial" w:eastAsia="Times New Roman" w:hAnsi="Arial" w:cs="Arial"/>
                <w:color w:val="000000"/>
                <w:lang w:eastAsia="en-GB"/>
              </w:rPr>
            </w:pPr>
            <w:r w:rsidRPr="007C7906">
              <w:rPr>
                <w:rFonts w:ascii="Arial" w:eastAsia="Times New Roman" w:hAnsi="Arial" w:cs="Arial"/>
                <w:color w:val="000000"/>
                <w:lang w:eastAsia="en-GB"/>
              </w:rPr>
              <w:t>Terraced</w:t>
            </w:r>
          </w:p>
        </w:tc>
        <w:tc>
          <w:tcPr>
            <w:tcW w:w="1365" w:type="dxa"/>
            <w:tcBorders>
              <w:top w:val="nil"/>
              <w:left w:val="nil"/>
              <w:bottom w:val="single" w:sz="4" w:space="0" w:color="auto"/>
              <w:right w:val="single" w:sz="4" w:space="0" w:color="auto"/>
            </w:tcBorders>
            <w:shd w:val="clear" w:color="auto" w:fill="auto"/>
            <w:noWrap/>
            <w:vAlign w:val="bottom"/>
            <w:hideMark/>
          </w:tcPr>
          <w:p w:rsidR="004B4774" w:rsidRPr="00F162A9" w:rsidRDefault="004B4774" w:rsidP="009A5A02">
            <w:pPr>
              <w:spacing w:line="240" w:lineRule="auto"/>
              <w:jc w:val="right"/>
              <w:rPr>
                <w:rFonts w:eastAsia="Times New Roman" w:cstheme="minorHAnsi"/>
                <w:color w:val="000000"/>
                <w:lang w:eastAsia="en-GB"/>
              </w:rPr>
            </w:pPr>
            <w:r w:rsidRPr="00F162A9">
              <w:rPr>
                <w:rFonts w:cstheme="minorHAnsi"/>
                <w:color w:val="000000"/>
              </w:rPr>
              <w:t>£203,000</w:t>
            </w:r>
          </w:p>
        </w:tc>
        <w:tc>
          <w:tcPr>
            <w:tcW w:w="1418" w:type="dxa"/>
            <w:tcBorders>
              <w:top w:val="nil"/>
              <w:left w:val="nil"/>
              <w:bottom w:val="single" w:sz="4" w:space="0" w:color="auto"/>
              <w:right w:val="single" w:sz="4" w:space="0" w:color="auto"/>
            </w:tcBorders>
            <w:shd w:val="clear" w:color="auto" w:fill="auto"/>
            <w:noWrap/>
            <w:vAlign w:val="bottom"/>
            <w:hideMark/>
          </w:tcPr>
          <w:p w:rsidR="004B4774" w:rsidRPr="00F162A9" w:rsidRDefault="004B4774" w:rsidP="009A5A02">
            <w:pPr>
              <w:spacing w:line="240" w:lineRule="auto"/>
              <w:jc w:val="right"/>
              <w:rPr>
                <w:rFonts w:eastAsia="Times New Roman" w:cstheme="minorHAnsi"/>
                <w:color w:val="000000"/>
                <w:lang w:eastAsia="en-GB"/>
              </w:rPr>
            </w:pPr>
            <w:r w:rsidRPr="00F162A9">
              <w:rPr>
                <w:rFonts w:cstheme="minorHAnsi"/>
                <w:color w:val="000000"/>
              </w:rPr>
              <w:t>£219,554</w:t>
            </w:r>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rsidR="004B4774" w:rsidRPr="00F162A9" w:rsidRDefault="004B4774" w:rsidP="009A5A02">
            <w:pPr>
              <w:spacing w:line="240" w:lineRule="auto"/>
              <w:jc w:val="right"/>
              <w:rPr>
                <w:rFonts w:eastAsia="Times New Roman" w:cstheme="minorHAnsi"/>
                <w:color w:val="000000"/>
                <w:lang w:eastAsia="en-GB"/>
              </w:rPr>
            </w:pPr>
            <w:r w:rsidRPr="00F162A9">
              <w:rPr>
                <w:rFonts w:cstheme="minorHAnsi"/>
                <w:color w:val="000000"/>
              </w:rPr>
              <w:t>£314,650</w:t>
            </w:r>
          </w:p>
        </w:tc>
        <w:tc>
          <w:tcPr>
            <w:tcW w:w="1276" w:type="dxa"/>
            <w:tcBorders>
              <w:top w:val="nil"/>
              <w:left w:val="nil"/>
              <w:bottom w:val="single" w:sz="4" w:space="0" w:color="auto"/>
              <w:right w:val="single" w:sz="4" w:space="0" w:color="auto"/>
            </w:tcBorders>
            <w:shd w:val="clear" w:color="auto" w:fill="auto"/>
            <w:noWrap/>
            <w:vAlign w:val="bottom"/>
            <w:hideMark/>
          </w:tcPr>
          <w:p w:rsidR="004B4774" w:rsidRPr="00F162A9" w:rsidRDefault="004B4774" w:rsidP="009A5A02">
            <w:pPr>
              <w:spacing w:line="240" w:lineRule="auto"/>
              <w:jc w:val="right"/>
              <w:rPr>
                <w:rFonts w:eastAsia="Times New Roman" w:cstheme="minorHAnsi"/>
                <w:color w:val="000000"/>
                <w:lang w:eastAsia="en-GB"/>
              </w:rPr>
            </w:pPr>
            <w:r w:rsidRPr="00F162A9">
              <w:rPr>
                <w:rFonts w:cstheme="minorHAnsi"/>
                <w:color w:val="000000"/>
              </w:rPr>
              <w:t>£290,372</w:t>
            </w:r>
          </w:p>
        </w:tc>
        <w:tc>
          <w:tcPr>
            <w:tcW w:w="1418" w:type="dxa"/>
            <w:gridSpan w:val="2"/>
            <w:tcBorders>
              <w:top w:val="nil"/>
              <w:left w:val="nil"/>
              <w:bottom w:val="single" w:sz="4" w:space="0" w:color="auto"/>
              <w:right w:val="single" w:sz="4" w:space="0" w:color="auto"/>
            </w:tcBorders>
            <w:shd w:val="clear" w:color="auto" w:fill="auto"/>
            <w:noWrap/>
            <w:vAlign w:val="bottom"/>
            <w:hideMark/>
          </w:tcPr>
          <w:p w:rsidR="004B4774" w:rsidRPr="00F162A9" w:rsidRDefault="004B4774" w:rsidP="009A5A02">
            <w:pPr>
              <w:rPr>
                <w:rFonts w:cstheme="minorHAnsi"/>
                <w:color w:val="000000"/>
              </w:rPr>
            </w:pPr>
            <w:r w:rsidRPr="00F162A9">
              <w:rPr>
                <w:rFonts w:cstheme="minorHAnsi"/>
                <w:color w:val="000000"/>
              </w:rPr>
              <w:t>55%</w:t>
            </w:r>
          </w:p>
        </w:tc>
        <w:tc>
          <w:tcPr>
            <w:tcW w:w="1337" w:type="dxa"/>
            <w:tcBorders>
              <w:top w:val="nil"/>
              <w:left w:val="nil"/>
              <w:bottom w:val="single" w:sz="4" w:space="0" w:color="auto"/>
              <w:right w:val="single" w:sz="4" w:space="0" w:color="auto"/>
            </w:tcBorders>
            <w:shd w:val="clear" w:color="auto" w:fill="auto"/>
            <w:noWrap/>
            <w:vAlign w:val="bottom"/>
            <w:hideMark/>
          </w:tcPr>
          <w:p w:rsidR="004B4774" w:rsidRPr="00F162A9" w:rsidRDefault="004B4774" w:rsidP="009A5A02">
            <w:pPr>
              <w:rPr>
                <w:rFonts w:cstheme="minorHAnsi"/>
                <w:color w:val="000000"/>
              </w:rPr>
            </w:pPr>
            <w:r w:rsidRPr="00F162A9">
              <w:rPr>
                <w:rFonts w:cstheme="minorHAnsi"/>
                <w:color w:val="000000"/>
              </w:rPr>
              <w:t>32%</w:t>
            </w:r>
          </w:p>
        </w:tc>
      </w:tr>
      <w:tr w:rsidR="004B4774" w:rsidRPr="007C7906" w:rsidTr="009A5A02">
        <w:trPr>
          <w:trHeight w:val="288"/>
        </w:trPr>
        <w:tc>
          <w:tcPr>
            <w:tcW w:w="1060" w:type="dxa"/>
            <w:tcBorders>
              <w:top w:val="nil"/>
              <w:left w:val="single" w:sz="4" w:space="0" w:color="auto"/>
              <w:bottom w:val="single" w:sz="4" w:space="0" w:color="auto"/>
              <w:right w:val="single" w:sz="4" w:space="0" w:color="auto"/>
            </w:tcBorders>
            <w:shd w:val="clear" w:color="000000" w:fill="BFBFBF"/>
            <w:noWrap/>
            <w:vAlign w:val="bottom"/>
            <w:hideMark/>
          </w:tcPr>
          <w:p w:rsidR="004B4774" w:rsidRPr="007C7906" w:rsidRDefault="004B4774" w:rsidP="009A5A02">
            <w:pPr>
              <w:spacing w:line="240" w:lineRule="auto"/>
              <w:rPr>
                <w:rFonts w:ascii="Arial" w:eastAsia="Times New Roman" w:hAnsi="Arial" w:cs="Arial"/>
                <w:color w:val="000000"/>
                <w:lang w:eastAsia="en-GB"/>
              </w:rPr>
            </w:pPr>
            <w:r w:rsidRPr="007C7906">
              <w:rPr>
                <w:rFonts w:ascii="Arial" w:eastAsia="Times New Roman" w:hAnsi="Arial" w:cs="Arial"/>
                <w:color w:val="000000"/>
                <w:lang w:eastAsia="en-GB"/>
              </w:rPr>
              <w:t>Flats</w:t>
            </w:r>
          </w:p>
        </w:tc>
        <w:tc>
          <w:tcPr>
            <w:tcW w:w="1365" w:type="dxa"/>
            <w:tcBorders>
              <w:top w:val="nil"/>
              <w:left w:val="nil"/>
              <w:bottom w:val="single" w:sz="4" w:space="0" w:color="auto"/>
              <w:right w:val="single" w:sz="4" w:space="0" w:color="auto"/>
            </w:tcBorders>
            <w:shd w:val="clear" w:color="auto" w:fill="auto"/>
            <w:noWrap/>
            <w:vAlign w:val="bottom"/>
            <w:hideMark/>
          </w:tcPr>
          <w:p w:rsidR="004B4774" w:rsidRPr="00F162A9" w:rsidRDefault="004B4774" w:rsidP="009A5A02">
            <w:pPr>
              <w:spacing w:line="240" w:lineRule="auto"/>
              <w:jc w:val="right"/>
              <w:rPr>
                <w:rFonts w:eastAsia="Times New Roman" w:cstheme="minorHAnsi"/>
                <w:color w:val="000000"/>
                <w:lang w:eastAsia="en-GB"/>
              </w:rPr>
            </w:pPr>
            <w:r w:rsidRPr="00F162A9">
              <w:rPr>
                <w:rFonts w:cstheme="minorHAnsi"/>
                <w:color w:val="000000"/>
              </w:rPr>
              <w:t>£198,590</w:t>
            </w:r>
          </w:p>
        </w:tc>
        <w:tc>
          <w:tcPr>
            <w:tcW w:w="1418" w:type="dxa"/>
            <w:tcBorders>
              <w:top w:val="nil"/>
              <w:left w:val="nil"/>
              <w:bottom w:val="single" w:sz="4" w:space="0" w:color="auto"/>
              <w:right w:val="single" w:sz="4" w:space="0" w:color="auto"/>
            </w:tcBorders>
            <w:shd w:val="clear" w:color="auto" w:fill="auto"/>
            <w:noWrap/>
            <w:vAlign w:val="bottom"/>
            <w:hideMark/>
          </w:tcPr>
          <w:p w:rsidR="004B4774" w:rsidRPr="00F162A9" w:rsidRDefault="004B4774" w:rsidP="009A5A02">
            <w:pPr>
              <w:spacing w:line="240" w:lineRule="auto"/>
              <w:jc w:val="right"/>
              <w:rPr>
                <w:rFonts w:eastAsia="Times New Roman" w:cstheme="minorHAnsi"/>
                <w:color w:val="000000"/>
                <w:lang w:eastAsia="en-GB"/>
              </w:rPr>
            </w:pPr>
            <w:r w:rsidRPr="00F162A9">
              <w:rPr>
                <w:rFonts w:cstheme="minorHAnsi"/>
                <w:color w:val="000000"/>
              </w:rPr>
              <w:t>£164,080</w:t>
            </w:r>
          </w:p>
        </w:tc>
        <w:tc>
          <w:tcPr>
            <w:tcW w:w="1275" w:type="dxa"/>
            <w:tcBorders>
              <w:top w:val="nil"/>
              <w:left w:val="nil"/>
              <w:bottom w:val="single" w:sz="4" w:space="0" w:color="auto"/>
              <w:right w:val="single" w:sz="4" w:space="0" w:color="auto"/>
            </w:tcBorders>
            <w:shd w:val="clear" w:color="auto" w:fill="auto"/>
            <w:noWrap/>
            <w:vAlign w:val="bottom"/>
            <w:hideMark/>
          </w:tcPr>
          <w:p w:rsidR="004B4774" w:rsidRPr="00F162A9" w:rsidRDefault="004B4774" w:rsidP="009A5A02">
            <w:pPr>
              <w:spacing w:line="240" w:lineRule="auto"/>
              <w:jc w:val="right"/>
              <w:rPr>
                <w:rFonts w:eastAsia="Times New Roman" w:cstheme="minorHAnsi"/>
                <w:color w:val="000000"/>
                <w:lang w:eastAsia="en-GB"/>
              </w:rPr>
            </w:pPr>
            <w:r w:rsidRPr="00F162A9">
              <w:rPr>
                <w:rFonts w:cstheme="minorHAnsi"/>
                <w:color w:val="000000"/>
              </w:rPr>
              <w:t>£284,993</w:t>
            </w:r>
          </w:p>
        </w:tc>
        <w:tc>
          <w:tcPr>
            <w:tcW w:w="1276" w:type="dxa"/>
            <w:tcBorders>
              <w:top w:val="nil"/>
              <w:left w:val="nil"/>
              <w:bottom w:val="single" w:sz="4" w:space="0" w:color="auto"/>
              <w:right w:val="single" w:sz="4" w:space="0" w:color="auto"/>
            </w:tcBorders>
            <w:shd w:val="clear" w:color="auto" w:fill="auto"/>
            <w:noWrap/>
            <w:vAlign w:val="bottom"/>
            <w:hideMark/>
          </w:tcPr>
          <w:p w:rsidR="004B4774" w:rsidRPr="00F162A9" w:rsidRDefault="004B4774" w:rsidP="009A5A02">
            <w:pPr>
              <w:spacing w:line="240" w:lineRule="auto"/>
              <w:jc w:val="right"/>
              <w:rPr>
                <w:rFonts w:eastAsia="Times New Roman" w:cstheme="minorHAnsi"/>
                <w:color w:val="000000"/>
                <w:lang w:eastAsia="en-GB"/>
              </w:rPr>
            </w:pPr>
            <w:r w:rsidRPr="00F162A9">
              <w:rPr>
                <w:rFonts w:cstheme="minorHAnsi"/>
                <w:color w:val="000000"/>
              </w:rPr>
              <w:t>£199,532</w:t>
            </w:r>
          </w:p>
        </w:tc>
        <w:tc>
          <w:tcPr>
            <w:tcW w:w="1418" w:type="dxa"/>
            <w:gridSpan w:val="2"/>
            <w:tcBorders>
              <w:top w:val="nil"/>
              <w:left w:val="nil"/>
              <w:bottom w:val="single" w:sz="4" w:space="0" w:color="auto"/>
              <w:right w:val="single" w:sz="4" w:space="0" w:color="auto"/>
            </w:tcBorders>
            <w:shd w:val="clear" w:color="auto" w:fill="auto"/>
            <w:noWrap/>
            <w:vAlign w:val="bottom"/>
            <w:hideMark/>
          </w:tcPr>
          <w:p w:rsidR="004B4774" w:rsidRPr="00F162A9" w:rsidRDefault="004B4774" w:rsidP="009A5A02">
            <w:pPr>
              <w:rPr>
                <w:rFonts w:cstheme="minorHAnsi"/>
                <w:color w:val="000000"/>
              </w:rPr>
            </w:pPr>
            <w:r w:rsidRPr="00F162A9">
              <w:rPr>
                <w:rFonts w:cstheme="minorHAnsi"/>
                <w:color w:val="000000"/>
              </w:rPr>
              <w:t>44%</w:t>
            </w:r>
          </w:p>
        </w:tc>
        <w:tc>
          <w:tcPr>
            <w:tcW w:w="1337" w:type="dxa"/>
            <w:tcBorders>
              <w:top w:val="nil"/>
              <w:left w:val="nil"/>
              <w:bottom w:val="single" w:sz="4" w:space="0" w:color="auto"/>
              <w:right w:val="single" w:sz="4" w:space="0" w:color="auto"/>
            </w:tcBorders>
            <w:shd w:val="clear" w:color="auto" w:fill="auto"/>
            <w:noWrap/>
            <w:vAlign w:val="bottom"/>
            <w:hideMark/>
          </w:tcPr>
          <w:p w:rsidR="004B4774" w:rsidRPr="00F162A9" w:rsidRDefault="004B4774" w:rsidP="009A5A02">
            <w:pPr>
              <w:rPr>
                <w:rFonts w:cstheme="minorHAnsi"/>
                <w:color w:val="000000"/>
              </w:rPr>
            </w:pPr>
            <w:r w:rsidRPr="00F162A9">
              <w:rPr>
                <w:rFonts w:cstheme="minorHAnsi"/>
                <w:color w:val="000000"/>
              </w:rPr>
              <w:t>22%</w:t>
            </w:r>
          </w:p>
        </w:tc>
      </w:tr>
      <w:tr w:rsidR="004B4774" w:rsidRPr="007C7906" w:rsidTr="009A5A02">
        <w:trPr>
          <w:trHeight w:val="288"/>
        </w:trPr>
        <w:tc>
          <w:tcPr>
            <w:tcW w:w="1060" w:type="dxa"/>
            <w:tcBorders>
              <w:top w:val="nil"/>
              <w:left w:val="single" w:sz="4" w:space="0" w:color="auto"/>
              <w:bottom w:val="single" w:sz="4" w:space="0" w:color="auto"/>
              <w:right w:val="single" w:sz="4" w:space="0" w:color="auto"/>
            </w:tcBorders>
            <w:shd w:val="clear" w:color="000000" w:fill="BFBFBF"/>
            <w:noWrap/>
            <w:vAlign w:val="bottom"/>
            <w:hideMark/>
          </w:tcPr>
          <w:p w:rsidR="004B4774" w:rsidRPr="007C7906" w:rsidRDefault="004B4774" w:rsidP="009A5A02">
            <w:pPr>
              <w:spacing w:line="240" w:lineRule="auto"/>
              <w:rPr>
                <w:rFonts w:ascii="Arial" w:eastAsia="Times New Roman" w:hAnsi="Arial" w:cs="Arial"/>
                <w:i/>
                <w:iCs/>
                <w:color w:val="000000"/>
                <w:lang w:eastAsia="en-GB"/>
              </w:rPr>
            </w:pPr>
            <w:r w:rsidRPr="007C7906">
              <w:rPr>
                <w:rFonts w:ascii="Arial" w:eastAsia="Times New Roman" w:hAnsi="Arial" w:cs="Arial"/>
                <w:i/>
                <w:iCs/>
                <w:color w:val="000000"/>
                <w:lang w:eastAsia="en-GB"/>
              </w:rPr>
              <w:t>All Types</w:t>
            </w:r>
          </w:p>
        </w:tc>
        <w:tc>
          <w:tcPr>
            <w:tcW w:w="1365" w:type="dxa"/>
            <w:tcBorders>
              <w:top w:val="nil"/>
              <w:left w:val="nil"/>
              <w:bottom w:val="single" w:sz="4" w:space="0" w:color="auto"/>
              <w:right w:val="single" w:sz="4" w:space="0" w:color="auto"/>
            </w:tcBorders>
            <w:shd w:val="clear" w:color="auto" w:fill="auto"/>
            <w:noWrap/>
            <w:vAlign w:val="bottom"/>
            <w:hideMark/>
          </w:tcPr>
          <w:p w:rsidR="004B4774" w:rsidRPr="00F162A9" w:rsidRDefault="004B4774" w:rsidP="009A5A02">
            <w:pPr>
              <w:spacing w:line="240" w:lineRule="auto"/>
              <w:jc w:val="right"/>
              <w:rPr>
                <w:rFonts w:eastAsia="Times New Roman" w:cstheme="minorHAnsi"/>
                <w:color w:val="000000"/>
                <w:lang w:eastAsia="en-GB"/>
              </w:rPr>
            </w:pPr>
            <w:r w:rsidRPr="00F162A9">
              <w:rPr>
                <w:rFonts w:cstheme="minorHAnsi"/>
                <w:color w:val="000000"/>
              </w:rPr>
              <w:t>£457,185</w:t>
            </w:r>
          </w:p>
        </w:tc>
        <w:tc>
          <w:tcPr>
            <w:tcW w:w="1418" w:type="dxa"/>
            <w:tcBorders>
              <w:top w:val="nil"/>
              <w:left w:val="nil"/>
              <w:bottom w:val="single" w:sz="4" w:space="0" w:color="auto"/>
              <w:right w:val="single" w:sz="4" w:space="0" w:color="auto"/>
            </w:tcBorders>
            <w:shd w:val="clear" w:color="auto" w:fill="auto"/>
            <w:noWrap/>
            <w:vAlign w:val="bottom"/>
            <w:hideMark/>
          </w:tcPr>
          <w:p w:rsidR="004B4774" w:rsidRPr="00F162A9" w:rsidRDefault="004B4774" w:rsidP="009A5A02">
            <w:pPr>
              <w:spacing w:line="240" w:lineRule="auto"/>
              <w:jc w:val="right"/>
              <w:rPr>
                <w:rFonts w:eastAsia="Times New Roman" w:cstheme="minorHAnsi"/>
                <w:color w:val="000000"/>
                <w:lang w:eastAsia="en-GB"/>
              </w:rPr>
            </w:pPr>
            <w:r w:rsidRPr="00F162A9">
              <w:rPr>
                <w:rFonts w:cstheme="minorHAnsi"/>
                <w:color w:val="000000"/>
              </w:rPr>
              <w:t>£266,474</w:t>
            </w:r>
          </w:p>
        </w:tc>
        <w:tc>
          <w:tcPr>
            <w:tcW w:w="1275" w:type="dxa"/>
            <w:tcBorders>
              <w:top w:val="nil"/>
              <w:left w:val="nil"/>
              <w:bottom w:val="single" w:sz="4" w:space="0" w:color="auto"/>
              <w:right w:val="single" w:sz="4" w:space="0" w:color="auto"/>
            </w:tcBorders>
            <w:shd w:val="clear" w:color="auto" w:fill="auto"/>
            <w:noWrap/>
            <w:vAlign w:val="bottom"/>
            <w:hideMark/>
          </w:tcPr>
          <w:p w:rsidR="004B4774" w:rsidRPr="00F162A9" w:rsidRDefault="004B4774" w:rsidP="009A5A02">
            <w:pPr>
              <w:spacing w:line="240" w:lineRule="auto"/>
              <w:jc w:val="right"/>
              <w:rPr>
                <w:rFonts w:eastAsia="Times New Roman" w:cstheme="minorHAnsi"/>
                <w:color w:val="000000"/>
                <w:lang w:eastAsia="en-GB"/>
              </w:rPr>
            </w:pPr>
            <w:r w:rsidRPr="00F162A9">
              <w:rPr>
                <w:rFonts w:cstheme="minorHAnsi"/>
                <w:color w:val="000000"/>
              </w:rPr>
              <w:t>£541,512</w:t>
            </w:r>
          </w:p>
        </w:tc>
        <w:tc>
          <w:tcPr>
            <w:tcW w:w="1276" w:type="dxa"/>
            <w:tcBorders>
              <w:top w:val="nil"/>
              <w:left w:val="nil"/>
              <w:bottom w:val="single" w:sz="4" w:space="0" w:color="auto"/>
              <w:right w:val="single" w:sz="4" w:space="0" w:color="auto"/>
            </w:tcBorders>
            <w:shd w:val="clear" w:color="auto" w:fill="auto"/>
            <w:noWrap/>
            <w:vAlign w:val="bottom"/>
            <w:hideMark/>
          </w:tcPr>
          <w:p w:rsidR="004B4774" w:rsidRPr="00F162A9" w:rsidRDefault="004B4774" w:rsidP="009A5A02">
            <w:pPr>
              <w:spacing w:line="240" w:lineRule="auto"/>
              <w:jc w:val="right"/>
              <w:rPr>
                <w:rFonts w:eastAsia="Times New Roman" w:cstheme="minorHAnsi"/>
                <w:color w:val="000000"/>
                <w:lang w:eastAsia="en-GB"/>
              </w:rPr>
            </w:pPr>
            <w:r w:rsidRPr="00F162A9">
              <w:rPr>
                <w:rFonts w:cstheme="minorHAnsi"/>
                <w:color w:val="000000"/>
              </w:rPr>
              <w:t>£353,763</w:t>
            </w:r>
          </w:p>
        </w:tc>
        <w:tc>
          <w:tcPr>
            <w:tcW w:w="1418" w:type="dxa"/>
            <w:gridSpan w:val="2"/>
            <w:tcBorders>
              <w:top w:val="nil"/>
              <w:left w:val="nil"/>
              <w:bottom w:val="single" w:sz="4" w:space="0" w:color="auto"/>
              <w:right w:val="single" w:sz="4" w:space="0" w:color="auto"/>
            </w:tcBorders>
            <w:shd w:val="clear" w:color="auto" w:fill="auto"/>
            <w:noWrap/>
            <w:vAlign w:val="bottom"/>
            <w:hideMark/>
          </w:tcPr>
          <w:p w:rsidR="004B4774" w:rsidRPr="00F162A9" w:rsidRDefault="004B4774" w:rsidP="009A5A02">
            <w:pPr>
              <w:rPr>
                <w:rFonts w:cstheme="minorHAnsi"/>
                <w:color w:val="000000"/>
              </w:rPr>
            </w:pPr>
            <w:r w:rsidRPr="00F162A9">
              <w:rPr>
                <w:rFonts w:cstheme="minorHAnsi"/>
                <w:color w:val="000000"/>
              </w:rPr>
              <w:t>18%</w:t>
            </w:r>
          </w:p>
        </w:tc>
        <w:tc>
          <w:tcPr>
            <w:tcW w:w="1337" w:type="dxa"/>
            <w:tcBorders>
              <w:top w:val="nil"/>
              <w:left w:val="nil"/>
              <w:bottom w:val="single" w:sz="4" w:space="0" w:color="auto"/>
              <w:right w:val="single" w:sz="4" w:space="0" w:color="auto"/>
            </w:tcBorders>
            <w:shd w:val="clear" w:color="auto" w:fill="auto"/>
            <w:noWrap/>
            <w:vAlign w:val="bottom"/>
            <w:hideMark/>
          </w:tcPr>
          <w:p w:rsidR="004B4774" w:rsidRPr="00F162A9" w:rsidRDefault="004B4774" w:rsidP="009A5A02">
            <w:pPr>
              <w:rPr>
                <w:rFonts w:cstheme="minorHAnsi"/>
                <w:color w:val="000000"/>
              </w:rPr>
            </w:pPr>
            <w:r w:rsidRPr="00F162A9">
              <w:rPr>
                <w:rFonts w:cstheme="minorHAnsi"/>
                <w:color w:val="000000"/>
              </w:rPr>
              <w:t>33%</w:t>
            </w:r>
          </w:p>
        </w:tc>
      </w:tr>
    </w:tbl>
    <w:p w:rsidR="004B4774" w:rsidRDefault="004B4774" w:rsidP="004B4774">
      <w:pPr>
        <w:pStyle w:val="Source"/>
      </w:pPr>
      <w:r w:rsidRPr="00D93356">
        <w:t xml:space="preserve">Source: Land Registry PPD, AECOM </w:t>
      </w:r>
      <w:r w:rsidR="001157B7">
        <w:t>c</w:t>
      </w:r>
      <w:r w:rsidRPr="00D93356">
        <w:t>alculations</w:t>
      </w:r>
    </w:p>
    <w:p w:rsidR="004B4774" w:rsidRPr="00DF5929" w:rsidRDefault="004B4774" w:rsidP="004B4774">
      <w:pPr>
        <w:pStyle w:val="ListNumber"/>
        <w:rPr>
          <w:lang w:val="en-US"/>
        </w:rPr>
      </w:pPr>
      <w:r>
        <w:rPr>
          <w:lang w:val="en-US"/>
        </w:rPr>
        <w:t xml:space="preserve">Within the broader housing market, </w:t>
      </w:r>
      <w:r>
        <w:rPr>
          <w:lang w:val="en-US"/>
        </w:rPr>
        <w:fldChar w:fldCharType="begin"/>
      </w:r>
      <w:r>
        <w:rPr>
          <w:lang w:val="en-US"/>
        </w:rPr>
        <w:instrText xml:space="preserve"> REF _Ref495654460 \h </w:instrText>
      </w:r>
      <w:r>
        <w:rPr>
          <w:lang w:val="en-US"/>
        </w:rPr>
      </w:r>
      <w:r>
        <w:rPr>
          <w:lang w:val="en-US"/>
        </w:rPr>
        <w:fldChar w:fldCharType="separate"/>
      </w:r>
      <w:r w:rsidRPr="005C2CD6">
        <w:t xml:space="preserve">Figure </w:t>
      </w:r>
      <w:r>
        <w:rPr>
          <w:noProof/>
        </w:rPr>
        <w:t>5</w:t>
      </w:r>
      <w:r>
        <w:rPr>
          <w:lang w:val="en-US"/>
        </w:rPr>
        <w:fldChar w:fldCharType="end"/>
      </w:r>
      <w:r>
        <w:rPr>
          <w:lang w:val="en-US"/>
        </w:rPr>
        <w:t xml:space="preserve"> shows that in Coastal West Sussex, </w:t>
      </w:r>
      <w:r w:rsidRPr="00BA7F41">
        <w:rPr>
          <w:lang w:val="en-US"/>
        </w:rPr>
        <w:t xml:space="preserve">the strongest growth in prices has been in </w:t>
      </w:r>
      <w:proofErr w:type="spellStart"/>
      <w:r w:rsidRPr="00BA7F41">
        <w:rPr>
          <w:lang w:val="en-US"/>
        </w:rPr>
        <w:t>Adur</w:t>
      </w:r>
      <w:proofErr w:type="spellEnd"/>
      <w:r w:rsidRPr="00BA7F41">
        <w:rPr>
          <w:lang w:val="en-US"/>
        </w:rPr>
        <w:t xml:space="preserve"> </w:t>
      </w:r>
      <w:r w:rsidR="005F5CF8">
        <w:rPr>
          <w:lang w:val="en-US"/>
        </w:rPr>
        <w:t>District</w:t>
      </w:r>
      <w:r w:rsidRPr="00BA7F41">
        <w:rPr>
          <w:lang w:val="en-US"/>
        </w:rPr>
        <w:t xml:space="preserve"> (8.7%) and </w:t>
      </w:r>
      <w:proofErr w:type="spellStart"/>
      <w:r w:rsidRPr="00BA7F41">
        <w:rPr>
          <w:lang w:val="en-US"/>
        </w:rPr>
        <w:t>Chichester</w:t>
      </w:r>
      <w:proofErr w:type="spellEnd"/>
      <w:r w:rsidRPr="00BA7F41">
        <w:rPr>
          <w:lang w:val="en-US"/>
        </w:rPr>
        <w:t xml:space="preserve"> </w:t>
      </w:r>
      <w:r w:rsidR="005F5CF8">
        <w:rPr>
          <w:lang w:val="en-US"/>
        </w:rPr>
        <w:t>District</w:t>
      </w:r>
      <w:r w:rsidRPr="00BA7F41">
        <w:rPr>
          <w:lang w:val="en-US"/>
        </w:rPr>
        <w:t xml:space="preserve"> (8.0%) </w:t>
      </w:r>
      <w:r>
        <w:rPr>
          <w:lang w:val="en-US"/>
        </w:rPr>
        <w:t>between 2008 and 2011</w:t>
      </w:r>
      <w:r w:rsidRPr="00BA7F41">
        <w:rPr>
          <w:lang w:val="en-US"/>
        </w:rPr>
        <w:t xml:space="preserve"> with stronge</w:t>
      </w:r>
      <w:r>
        <w:rPr>
          <w:lang w:val="en-US"/>
        </w:rPr>
        <w:t xml:space="preserve">r growth recorded than average </w:t>
      </w:r>
      <w:r w:rsidRPr="00BA7F41">
        <w:rPr>
          <w:lang w:val="en-US"/>
        </w:rPr>
        <w:t>for the region</w:t>
      </w:r>
      <w:r>
        <w:rPr>
          <w:rStyle w:val="FootnoteReference"/>
          <w:lang w:val="en-US"/>
        </w:rPr>
        <w:footnoteReference w:id="53"/>
      </w:r>
      <w:r w:rsidRPr="00BA7F41">
        <w:rPr>
          <w:lang w:val="en-US"/>
        </w:rPr>
        <w:t>.</w:t>
      </w:r>
      <w:r w:rsidRPr="00083DF4">
        <w:t xml:space="preserve"> </w:t>
      </w:r>
      <w:proofErr w:type="spellStart"/>
      <w:r w:rsidRPr="00083DF4">
        <w:rPr>
          <w:lang w:val="en-US"/>
        </w:rPr>
        <w:t>Chichester</w:t>
      </w:r>
      <w:proofErr w:type="spellEnd"/>
      <w:r w:rsidRPr="00083DF4">
        <w:rPr>
          <w:lang w:val="en-US"/>
        </w:rPr>
        <w:t xml:space="preserve"> </w:t>
      </w:r>
      <w:r w:rsidR="005F5CF8">
        <w:rPr>
          <w:lang w:val="en-US"/>
        </w:rPr>
        <w:t>District</w:t>
      </w:r>
      <w:r w:rsidRPr="00083DF4">
        <w:rPr>
          <w:lang w:val="en-US"/>
        </w:rPr>
        <w:t>’s stronger housing market perf</w:t>
      </w:r>
      <w:r>
        <w:rPr>
          <w:lang w:val="en-US"/>
        </w:rPr>
        <w:t xml:space="preserve">ormance corresponds with </w:t>
      </w:r>
      <w:r w:rsidRPr="00083DF4">
        <w:rPr>
          <w:lang w:val="en-US"/>
        </w:rPr>
        <w:t>its stronger economic characteristics and recent performance</w:t>
      </w:r>
      <w:r>
        <w:rPr>
          <w:rStyle w:val="FootnoteReference"/>
          <w:lang w:val="en-US"/>
        </w:rPr>
        <w:footnoteReference w:id="54"/>
      </w:r>
      <w:r w:rsidRPr="00083DF4">
        <w:rPr>
          <w:lang w:val="en-US"/>
        </w:rPr>
        <w:t>.</w:t>
      </w:r>
      <w:r>
        <w:rPr>
          <w:lang w:val="en-US"/>
        </w:rPr>
        <w:t xml:space="preserve"> However, it has to be noted than </w:t>
      </w:r>
      <w:r w:rsidRPr="000D2107">
        <w:rPr>
          <w:lang w:val="en-US"/>
        </w:rPr>
        <w:t>average house prices</w:t>
      </w:r>
      <w:r>
        <w:rPr>
          <w:lang w:val="en-US"/>
        </w:rPr>
        <w:t xml:space="preserve"> in </w:t>
      </w:r>
      <w:proofErr w:type="spellStart"/>
      <w:r>
        <w:rPr>
          <w:lang w:val="en-US"/>
        </w:rPr>
        <w:t>Chichester</w:t>
      </w:r>
      <w:proofErr w:type="spellEnd"/>
      <w:r w:rsidRPr="000D2107">
        <w:rPr>
          <w:lang w:val="en-US"/>
        </w:rPr>
        <w:t xml:space="preserve"> </w:t>
      </w:r>
      <w:r>
        <w:rPr>
          <w:lang w:val="en-US"/>
        </w:rPr>
        <w:t xml:space="preserve">and in West </w:t>
      </w:r>
      <w:proofErr w:type="spellStart"/>
      <w:r>
        <w:rPr>
          <w:lang w:val="en-US"/>
        </w:rPr>
        <w:t>Wittering</w:t>
      </w:r>
      <w:proofErr w:type="spellEnd"/>
      <w:r>
        <w:rPr>
          <w:lang w:val="en-US"/>
        </w:rPr>
        <w:t xml:space="preserve"> </w:t>
      </w:r>
      <w:r w:rsidRPr="000D2107">
        <w:rPr>
          <w:lang w:val="en-US"/>
        </w:rPr>
        <w:t>are skewed by a greater presence of detached housing.</w:t>
      </w:r>
    </w:p>
    <w:p w:rsidR="004B4774" w:rsidRPr="0017017E" w:rsidRDefault="004B4774" w:rsidP="004B4774">
      <w:pPr>
        <w:pStyle w:val="Caption"/>
      </w:pPr>
      <w:bookmarkStart w:id="168" w:name="_Ref495654460"/>
      <w:bookmarkStart w:id="169" w:name="_Toc495920045"/>
      <w:r w:rsidRPr="005C2CD6">
        <w:t xml:space="preserve">Figure </w:t>
      </w:r>
      <w:fldSimple w:instr=" SEQ Figure \* ARABIC ">
        <w:r w:rsidR="00A258B5">
          <w:rPr>
            <w:noProof/>
          </w:rPr>
          <w:t>9</w:t>
        </w:r>
      </w:fldSimple>
      <w:bookmarkEnd w:id="168"/>
      <w:r>
        <w:t>: Coastal West Sussex</w:t>
      </w:r>
      <w:r w:rsidRPr="00A23888">
        <w:t xml:space="preserve"> </w:t>
      </w:r>
      <w:r w:rsidR="001157B7">
        <w:t>m</w:t>
      </w:r>
      <w:r w:rsidRPr="00A23888">
        <w:t xml:space="preserve">edian </w:t>
      </w:r>
      <w:r w:rsidR="001157B7">
        <w:t>h</w:t>
      </w:r>
      <w:r w:rsidRPr="00A23888">
        <w:t xml:space="preserve">ouse </w:t>
      </w:r>
      <w:r w:rsidR="001157B7">
        <w:t>p</w:t>
      </w:r>
      <w:r w:rsidRPr="00A23888">
        <w:t>rice, 2008-11</w:t>
      </w:r>
      <w:bookmarkEnd w:id="169"/>
    </w:p>
    <w:p w:rsidR="004B4774" w:rsidRPr="00357725" w:rsidRDefault="004B4774" w:rsidP="004B4774">
      <w:pPr>
        <w:pStyle w:val="ListNumber"/>
        <w:numPr>
          <w:ilvl w:val="0"/>
          <w:numId w:val="0"/>
        </w:numPr>
        <w:ind w:left="425" w:hanging="425"/>
        <w:rPr>
          <w:lang w:val="en-US"/>
        </w:rPr>
      </w:pPr>
      <w:r>
        <w:rPr>
          <w:noProof/>
          <w:lang w:eastAsia="en-GB"/>
        </w:rPr>
        <w:drawing>
          <wp:inline distT="0" distB="0" distL="0" distR="0" wp14:anchorId="0AD023BE" wp14:editId="6DF7E61F">
            <wp:extent cx="5700254" cy="3025402"/>
            <wp:effectExtent l="0" t="0" r="0" b="381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5700254" cy="3025402"/>
                    </a:xfrm>
                    <a:prstGeom prst="rect">
                      <a:avLst/>
                    </a:prstGeom>
                  </pic:spPr>
                </pic:pic>
              </a:graphicData>
            </a:graphic>
          </wp:inline>
        </w:drawing>
      </w:r>
    </w:p>
    <w:p w:rsidR="004B4774" w:rsidRDefault="004B4774" w:rsidP="004B4774">
      <w:pPr>
        <w:pStyle w:val="Source"/>
      </w:pPr>
      <w:r w:rsidRPr="00FF08C3">
        <w:t xml:space="preserve">Source: </w:t>
      </w:r>
      <w:r>
        <w:t>HMLR/SHMA 2012</w:t>
      </w:r>
    </w:p>
    <w:p w:rsidR="004B4774" w:rsidRPr="00AC1126" w:rsidRDefault="004B4774" w:rsidP="004B4774">
      <w:pPr>
        <w:pStyle w:val="Source"/>
      </w:pPr>
    </w:p>
    <w:p w:rsidR="004B4774" w:rsidRDefault="004B4774" w:rsidP="004B4774">
      <w:pPr>
        <w:pStyle w:val="Heading2"/>
        <w:rPr>
          <w:lang w:val="en-US"/>
        </w:rPr>
      </w:pPr>
      <w:bookmarkStart w:id="170" w:name="_Toc495920032"/>
      <w:bookmarkStart w:id="171" w:name="_Toc504464750"/>
      <w:r>
        <w:rPr>
          <w:lang w:val="en-US"/>
        </w:rPr>
        <w:t xml:space="preserve">Housing transactions: </w:t>
      </w:r>
      <w:r w:rsidR="001157B7">
        <w:rPr>
          <w:lang w:val="en-US"/>
        </w:rPr>
        <w:t>v</w:t>
      </w:r>
      <w:r>
        <w:rPr>
          <w:lang w:val="en-US"/>
        </w:rPr>
        <w:t>olume</w:t>
      </w:r>
      <w:bookmarkEnd w:id="170"/>
      <w:bookmarkEnd w:id="171"/>
    </w:p>
    <w:p w:rsidR="004B4774" w:rsidRPr="00983216" w:rsidRDefault="004B4774" w:rsidP="00A258B5">
      <w:pPr>
        <w:pStyle w:val="ListNumber"/>
      </w:pPr>
      <w:r w:rsidRPr="00404DE8">
        <w:rPr>
          <w:lang w:val="en-US"/>
        </w:rPr>
        <w:fldChar w:fldCharType="begin"/>
      </w:r>
      <w:r w:rsidRPr="00404DE8">
        <w:rPr>
          <w:lang w:val="en-US"/>
        </w:rPr>
        <w:instrText xml:space="preserve"> REF _Ref495655695 \h </w:instrText>
      </w:r>
      <w:r w:rsidRPr="00404DE8">
        <w:rPr>
          <w:lang w:val="en-US"/>
        </w:rPr>
      </w:r>
      <w:r w:rsidRPr="00404DE8">
        <w:rPr>
          <w:lang w:val="en-US"/>
        </w:rPr>
        <w:fldChar w:fldCharType="separate"/>
      </w:r>
      <w:r w:rsidR="00A258B5">
        <w:t xml:space="preserve">Figure </w:t>
      </w:r>
      <w:r w:rsidR="00A258B5">
        <w:rPr>
          <w:noProof/>
        </w:rPr>
        <w:t>10</w:t>
      </w:r>
      <w:r w:rsidRPr="00404DE8">
        <w:rPr>
          <w:lang w:val="en-US"/>
        </w:rPr>
        <w:fldChar w:fldCharType="end"/>
      </w:r>
      <w:r w:rsidRPr="00404DE8">
        <w:rPr>
          <w:lang w:val="en-US"/>
        </w:rPr>
        <w:t xml:space="preserve"> depicts </w:t>
      </w:r>
      <w:r w:rsidRPr="00E84D36">
        <w:t xml:space="preserve">the relative proportions of different housing typologies sold in </w:t>
      </w:r>
      <w:r>
        <w:t>West Wittering</w:t>
      </w:r>
      <w:r w:rsidRPr="00E84D36">
        <w:t xml:space="preserve"> between 2007 and 2016.</w:t>
      </w:r>
      <w:r>
        <w:t xml:space="preserve"> </w:t>
      </w:r>
      <w:r w:rsidRPr="00E84D36">
        <w:t>This graph represents the same Land Registry data discussed in the previous sectio</w:t>
      </w:r>
      <w:r>
        <w:t>n separated out by housing type. This graph shows the effects of the national recession, it is clear that transaction volumes had not, in 2016, returned to pre-recession levels.</w:t>
      </w:r>
    </w:p>
    <w:p w:rsidR="004B4774" w:rsidRDefault="004B4774" w:rsidP="004B4774">
      <w:pPr>
        <w:pStyle w:val="Caption"/>
      </w:pPr>
      <w:bookmarkStart w:id="172" w:name="_Ref495655695"/>
      <w:bookmarkStart w:id="173" w:name="_Toc489356072"/>
      <w:bookmarkStart w:id="174" w:name="_Toc495920046"/>
      <w:r>
        <w:lastRenderedPageBreak/>
        <w:t xml:space="preserve">Figure </w:t>
      </w:r>
      <w:fldSimple w:instr=" SEQ Figure \* ARABIC ">
        <w:r w:rsidR="00A258B5">
          <w:rPr>
            <w:noProof/>
          </w:rPr>
          <w:t>10</w:t>
        </w:r>
      </w:fldSimple>
      <w:bookmarkEnd w:id="172"/>
      <w:r>
        <w:t xml:space="preserve">: </w:t>
      </w:r>
      <w:r w:rsidRPr="005E7AD5">
        <w:t xml:space="preserve">Sales volumes of different housing types in </w:t>
      </w:r>
      <w:r>
        <w:t>West Wittering</w:t>
      </w:r>
      <w:r w:rsidRPr="005E7AD5">
        <w:t>, 2007-2016</w:t>
      </w:r>
      <w:bookmarkEnd w:id="173"/>
      <w:bookmarkEnd w:id="174"/>
    </w:p>
    <w:p w:rsidR="004B4774" w:rsidRPr="00065FF7" w:rsidRDefault="004B4774" w:rsidP="004B4774">
      <w:pPr>
        <w:pStyle w:val="BodyText"/>
      </w:pPr>
      <w:r>
        <w:rPr>
          <w:noProof/>
          <w:lang w:eastAsia="en-GB"/>
        </w:rPr>
        <w:drawing>
          <wp:inline distT="0" distB="0" distL="0" distR="0" wp14:anchorId="5A4412A5" wp14:editId="008C26A0">
            <wp:extent cx="5731510" cy="2992558"/>
            <wp:effectExtent l="0" t="0" r="21590" b="17780"/>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4B4774" w:rsidRPr="00FF08C3" w:rsidRDefault="004B4774" w:rsidP="004B4774">
      <w:pPr>
        <w:pStyle w:val="Source"/>
      </w:pPr>
      <w:r w:rsidRPr="00FF08C3">
        <w:t xml:space="preserve">Source: Land Registry PPD, AECOM </w:t>
      </w:r>
      <w:r w:rsidR="001157B7">
        <w:t>c</w:t>
      </w:r>
      <w:r w:rsidRPr="00FF08C3">
        <w:t>alculations</w:t>
      </w:r>
    </w:p>
    <w:p w:rsidR="004B4774" w:rsidRPr="00B77F1A" w:rsidRDefault="004B4774" w:rsidP="00A258B5">
      <w:pPr>
        <w:pStyle w:val="ListNumber"/>
      </w:pPr>
      <w:r w:rsidRPr="00B77F1A">
        <w:t xml:space="preserve">Another approach to benchmarking whether sales volumes represent a clear market signal indicating inflated or depressed demand across different housing types is to compare the proportion of sales of each type of housing (excluding any new builds, which would introduce supply side factors) with the proportion of the existing housing stock that falls into each category. This allows conclusions to be drawn about whether the sale of homes of each type is occurring proportional to their availability, or there whether </w:t>
      </w:r>
      <w:r>
        <w:t xml:space="preserve">the high turnover of stock suggests strong, and possibly unmet, demand. </w:t>
      </w:r>
    </w:p>
    <w:p w:rsidR="004B4774" w:rsidRPr="00BD2368" w:rsidRDefault="004B4774" w:rsidP="00A258B5">
      <w:pPr>
        <w:pStyle w:val="ListNumber"/>
      </w:pPr>
      <w:r>
        <w:t xml:space="preserve">This comparison is presented in </w:t>
      </w:r>
      <w:r>
        <w:fldChar w:fldCharType="begin"/>
      </w:r>
      <w:r>
        <w:instrText xml:space="preserve"> REF _Ref495656518 \h </w:instrText>
      </w:r>
      <w:r>
        <w:fldChar w:fldCharType="separate"/>
      </w:r>
      <w:r w:rsidR="00A258B5">
        <w:t xml:space="preserve">Table </w:t>
      </w:r>
      <w:r w:rsidR="00A258B5">
        <w:rPr>
          <w:noProof/>
        </w:rPr>
        <w:t>24</w:t>
      </w:r>
      <w:r>
        <w:fldChar w:fldCharType="end"/>
      </w:r>
      <w:r w:rsidRPr="00BE2269">
        <w:t xml:space="preserve">, with figures for the housing stock in </w:t>
      </w:r>
      <w:r>
        <w:t xml:space="preserve">Chichester </w:t>
      </w:r>
      <w:r w:rsidR="005F5CF8">
        <w:t>District</w:t>
      </w:r>
      <w:r w:rsidRPr="00BE2269">
        <w:t xml:space="preserve"> as a whole presented alongside for reference.</w:t>
      </w:r>
      <w:r w:rsidRPr="0037212C">
        <w:t xml:space="preserve"> </w:t>
      </w:r>
      <w:r w:rsidRPr="00BE2269">
        <w:t xml:space="preserve">The table shows clearly that the percentage of sales and </w:t>
      </w:r>
      <w:r>
        <w:t>stock are roughly the same for detached housing and flats.</w:t>
      </w:r>
      <w:r w:rsidRPr="00BE2269">
        <w:t xml:space="preserve"> </w:t>
      </w:r>
      <w:r>
        <w:t xml:space="preserve">Detached housing comprised 64% of all transactions between 2007 and 2016 and accounts for 63% of the housing stock. Semi-detached housing comprised 23% of all transactions over the period while only accounting for 20% of the housing stock. This data indicate that semi-detached housing has a relatively higher turnover rate in the area than the other house types. It suggests that semi-detached houses are in high demand, but also frequently traded in West Wittering. </w:t>
      </w:r>
      <w:r>
        <w:fldChar w:fldCharType="begin"/>
      </w:r>
      <w:r>
        <w:instrText xml:space="preserve"> REF _Ref495656518 \h </w:instrText>
      </w:r>
      <w:r>
        <w:fldChar w:fldCharType="separate"/>
      </w:r>
      <w:r w:rsidR="00A258B5">
        <w:t xml:space="preserve">Table </w:t>
      </w:r>
      <w:r w:rsidR="00A258B5">
        <w:rPr>
          <w:noProof/>
        </w:rPr>
        <w:t>24</w:t>
      </w:r>
      <w:r>
        <w:fldChar w:fldCharType="end"/>
      </w:r>
      <w:r>
        <w:t xml:space="preserve"> also shows that fewer terraced houses </w:t>
      </w:r>
      <w:r w:rsidRPr="00BE2269">
        <w:t xml:space="preserve">are being sold </w:t>
      </w:r>
      <w:r>
        <w:t>than are</w:t>
      </w:r>
      <w:r w:rsidRPr="00BE2269">
        <w:t xml:space="preserve"> represented in the existing stock</w:t>
      </w:r>
      <w:r>
        <w:t>.</w:t>
      </w:r>
    </w:p>
    <w:p w:rsidR="004B4774" w:rsidRDefault="004B4774" w:rsidP="004B4774">
      <w:pPr>
        <w:pStyle w:val="Caption"/>
      </w:pPr>
      <w:bookmarkStart w:id="175" w:name="_Ref495656518"/>
      <w:bookmarkStart w:id="176" w:name="_Toc488669620"/>
      <w:bookmarkStart w:id="177" w:name="_Ref495656509"/>
      <w:bookmarkStart w:id="178" w:name="_Toc495920054"/>
      <w:r>
        <w:t xml:space="preserve">Table </w:t>
      </w:r>
      <w:fldSimple w:instr=" SEQ Table \* ARABIC ">
        <w:r w:rsidR="00B25544">
          <w:rPr>
            <w:noProof/>
          </w:rPr>
          <w:t>24</w:t>
        </w:r>
      </w:fldSimple>
      <w:bookmarkEnd w:id="175"/>
      <w:r>
        <w:t xml:space="preserve">: </w:t>
      </w:r>
      <w:r w:rsidRPr="003C7382">
        <w:t xml:space="preserve">Sales volumes versus stock of different housing types in </w:t>
      </w:r>
      <w:r>
        <w:t>West Wittering</w:t>
      </w:r>
      <w:r w:rsidRPr="003C7382">
        <w:t xml:space="preserve"> and </w:t>
      </w:r>
      <w:bookmarkEnd w:id="176"/>
      <w:r>
        <w:t>Chichester</w:t>
      </w:r>
      <w:bookmarkEnd w:id="177"/>
      <w:bookmarkEnd w:id="178"/>
    </w:p>
    <w:tbl>
      <w:tblPr>
        <w:tblW w:w="9087" w:type="dxa"/>
        <w:tblInd w:w="93" w:type="dxa"/>
        <w:tblLook w:val="04A0" w:firstRow="1" w:lastRow="0" w:firstColumn="1" w:lastColumn="0" w:noHBand="0" w:noVBand="1"/>
      </w:tblPr>
      <w:tblGrid>
        <w:gridCol w:w="1716"/>
        <w:gridCol w:w="2127"/>
        <w:gridCol w:w="2835"/>
        <w:gridCol w:w="2409"/>
      </w:tblGrid>
      <w:tr w:rsidR="004B4774" w:rsidRPr="003471D1" w:rsidTr="009A5A02">
        <w:trPr>
          <w:trHeight w:val="288"/>
        </w:trPr>
        <w:tc>
          <w:tcPr>
            <w:tcW w:w="1716" w:type="dxa"/>
            <w:tcBorders>
              <w:top w:val="nil"/>
              <w:left w:val="single" w:sz="4" w:space="0" w:color="auto"/>
              <w:bottom w:val="single" w:sz="4" w:space="0" w:color="auto"/>
              <w:right w:val="single" w:sz="4" w:space="0" w:color="auto"/>
            </w:tcBorders>
            <w:shd w:val="clear" w:color="auto" w:fill="000000" w:themeFill="text1"/>
            <w:noWrap/>
            <w:vAlign w:val="bottom"/>
            <w:hideMark/>
          </w:tcPr>
          <w:p w:rsidR="004B4774" w:rsidRPr="003471D1" w:rsidRDefault="004B4774" w:rsidP="009A5A02">
            <w:pPr>
              <w:spacing w:line="240" w:lineRule="auto"/>
              <w:rPr>
                <w:rFonts w:ascii="Arial" w:eastAsia="Times New Roman" w:hAnsi="Arial" w:cs="Arial"/>
                <w:i/>
                <w:iCs/>
                <w:color w:val="FFFFFF" w:themeColor="background1"/>
                <w:lang w:eastAsia="en-GB"/>
              </w:rPr>
            </w:pPr>
            <w:r w:rsidRPr="003471D1">
              <w:rPr>
                <w:rFonts w:ascii="Arial" w:eastAsia="Times New Roman" w:hAnsi="Arial" w:cs="Arial"/>
                <w:i/>
                <w:iCs/>
                <w:color w:val="FFFFFF" w:themeColor="background1"/>
                <w:lang w:eastAsia="en-GB"/>
              </w:rPr>
              <w:t> </w:t>
            </w:r>
          </w:p>
        </w:tc>
        <w:tc>
          <w:tcPr>
            <w:tcW w:w="2127" w:type="dxa"/>
            <w:tcBorders>
              <w:top w:val="nil"/>
              <w:left w:val="nil"/>
              <w:bottom w:val="single" w:sz="4" w:space="0" w:color="auto"/>
              <w:right w:val="single" w:sz="4" w:space="0" w:color="auto"/>
            </w:tcBorders>
            <w:shd w:val="clear" w:color="auto" w:fill="000000" w:themeFill="text1"/>
            <w:noWrap/>
            <w:vAlign w:val="bottom"/>
            <w:hideMark/>
          </w:tcPr>
          <w:p w:rsidR="004B4774" w:rsidRPr="003471D1" w:rsidRDefault="004B4774" w:rsidP="009A5A02">
            <w:pPr>
              <w:spacing w:line="240" w:lineRule="auto"/>
              <w:rPr>
                <w:rFonts w:ascii="Arial" w:eastAsia="Times New Roman" w:hAnsi="Arial" w:cs="Arial"/>
                <w:iCs/>
                <w:color w:val="FFFFFF" w:themeColor="background1"/>
                <w:lang w:eastAsia="en-GB"/>
              </w:rPr>
            </w:pPr>
            <w:r w:rsidRPr="003471D1">
              <w:rPr>
                <w:rFonts w:ascii="Arial" w:eastAsia="Times New Roman" w:hAnsi="Arial" w:cs="Arial"/>
                <w:iCs/>
                <w:color w:val="FFFFFF" w:themeColor="background1"/>
                <w:lang w:eastAsia="en-GB"/>
              </w:rPr>
              <w:t>SALES</w:t>
            </w:r>
            <w:r>
              <w:rPr>
                <w:rFonts w:ascii="Arial" w:eastAsia="Times New Roman" w:hAnsi="Arial" w:cs="Arial"/>
                <w:iCs/>
                <w:color w:val="FFFFFF" w:themeColor="background1"/>
                <w:lang w:eastAsia="en-GB"/>
              </w:rPr>
              <w:t xml:space="preserve"> (2007-2016)</w:t>
            </w:r>
          </w:p>
        </w:tc>
        <w:tc>
          <w:tcPr>
            <w:tcW w:w="2835" w:type="dxa"/>
            <w:tcBorders>
              <w:top w:val="nil"/>
              <w:left w:val="nil"/>
              <w:bottom w:val="single" w:sz="4" w:space="0" w:color="auto"/>
              <w:right w:val="single" w:sz="4" w:space="0" w:color="auto"/>
            </w:tcBorders>
            <w:shd w:val="clear" w:color="auto" w:fill="000000" w:themeFill="text1"/>
            <w:noWrap/>
            <w:vAlign w:val="bottom"/>
            <w:hideMark/>
          </w:tcPr>
          <w:p w:rsidR="004B4774" w:rsidRPr="003471D1" w:rsidRDefault="004B4774" w:rsidP="009A5A02">
            <w:pPr>
              <w:spacing w:line="240" w:lineRule="auto"/>
              <w:rPr>
                <w:rFonts w:ascii="Arial" w:eastAsia="Times New Roman" w:hAnsi="Arial" w:cs="Arial"/>
                <w:iCs/>
                <w:color w:val="FFFFFF" w:themeColor="background1"/>
                <w:lang w:eastAsia="en-GB"/>
              </w:rPr>
            </w:pPr>
            <w:r w:rsidRPr="003471D1">
              <w:rPr>
                <w:rFonts w:ascii="Arial" w:eastAsia="Times New Roman" w:hAnsi="Arial" w:cs="Arial"/>
                <w:iCs/>
                <w:color w:val="FFFFFF" w:themeColor="background1"/>
                <w:lang w:eastAsia="en-GB"/>
              </w:rPr>
              <w:t>STOCK</w:t>
            </w:r>
            <w:r>
              <w:rPr>
                <w:rFonts w:ascii="Arial" w:eastAsia="Times New Roman" w:hAnsi="Arial" w:cs="Arial"/>
                <w:iCs/>
                <w:color w:val="FFFFFF" w:themeColor="background1"/>
                <w:lang w:eastAsia="en-GB"/>
              </w:rPr>
              <w:t xml:space="preserve"> (2011)</w:t>
            </w:r>
          </w:p>
        </w:tc>
        <w:tc>
          <w:tcPr>
            <w:tcW w:w="2409" w:type="dxa"/>
            <w:tcBorders>
              <w:top w:val="nil"/>
              <w:left w:val="nil"/>
              <w:bottom w:val="single" w:sz="4" w:space="0" w:color="auto"/>
              <w:right w:val="single" w:sz="4" w:space="0" w:color="auto"/>
            </w:tcBorders>
            <w:shd w:val="clear" w:color="auto" w:fill="000000" w:themeFill="text1"/>
            <w:noWrap/>
            <w:vAlign w:val="bottom"/>
            <w:hideMark/>
          </w:tcPr>
          <w:p w:rsidR="004B4774" w:rsidRPr="003471D1" w:rsidRDefault="004B4774" w:rsidP="009A5A02">
            <w:pPr>
              <w:spacing w:line="240" w:lineRule="auto"/>
              <w:rPr>
                <w:rFonts w:ascii="Arial" w:eastAsia="Times New Roman" w:hAnsi="Arial" w:cs="Arial"/>
                <w:iCs/>
                <w:color w:val="FFFFFF" w:themeColor="background1"/>
                <w:lang w:eastAsia="en-GB"/>
              </w:rPr>
            </w:pPr>
            <w:r w:rsidRPr="003471D1">
              <w:rPr>
                <w:rFonts w:ascii="Arial" w:eastAsia="Times New Roman" w:hAnsi="Arial" w:cs="Arial"/>
                <w:iCs/>
                <w:color w:val="FFFFFF" w:themeColor="background1"/>
                <w:lang w:eastAsia="en-GB"/>
              </w:rPr>
              <w:t>STOCK</w:t>
            </w:r>
            <w:r>
              <w:rPr>
                <w:rFonts w:ascii="Arial" w:eastAsia="Times New Roman" w:hAnsi="Arial" w:cs="Arial"/>
                <w:iCs/>
                <w:color w:val="FFFFFF" w:themeColor="background1"/>
                <w:lang w:eastAsia="en-GB"/>
              </w:rPr>
              <w:t xml:space="preserve"> (2011)</w:t>
            </w:r>
          </w:p>
        </w:tc>
      </w:tr>
      <w:tr w:rsidR="004B4774" w:rsidRPr="003471D1" w:rsidTr="009A5A02">
        <w:trPr>
          <w:trHeight w:val="288"/>
        </w:trPr>
        <w:tc>
          <w:tcPr>
            <w:tcW w:w="1716" w:type="dxa"/>
            <w:tcBorders>
              <w:top w:val="nil"/>
              <w:left w:val="single" w:sz="4" w:space="0" w:color="auto"/>
              <w:bottom w:val="single" w:sz="4" w:space="0" w:color="auto"/>
              <w:right w:val="single" w:sz="4" w:space="0" w:color="auto"/>
            </w:tcBorders>
            <w:shd w:val="clear" w:color="auto" w:fill="000000" w:themeFill="text1"/>
            <w:noWrap/>
            <w:vAlign w:val="bottom"/>
            <w:hideMark/>
          </w:tcPr>
          <w:p w:rsidR="004B4774" w:rsidRPr="003471D1" w:rsidRDefault="004B4774" w:rsidP="009A5A02">
            <w:pPr>
              <w:spacing w:line="240" w:lineRule="auto"/>
              <w:rPr>
                <w:rFonts w:ascii="Arial" w:eastAsia="Times New Roman" w:hAnsi="Arial" w:cs="Arial"/>
                <w:i/>
                <w:iCs/>
                <w:color w:val="FFFFFF" w:themeColor="background1"/>
                <w:lang w:eastAsia="en-GB"/>
              </w:rPr>
            </w:pPr>
            <w:r w:rsidRPr="003471D1">
              <w:rPr>
                <w:rFonts w:ascii="Arial" w:eastAsia="Times New Roman" w:hAnsi="Arial" w:cs="Arial"/>
                <w:i/>
                <w:iCs/>
                <w:color w:val="FFFFFF" w:themeColor="background1"/>
                <w:lang w:eastAsia="en-GB"/>
              </w:rPr>
              <w:t> </w:t>
            </w:r>
          </w:p>
        </w:tc>
        <w:tc>
          <w:tcPr>
            <w:tcW w:w="2127" w:type="dxa"/>
            <w:tcBorders>
              <w:top w:val="nil"/>
              <w:left w:val="nil"/>
              <w:bottom w:val="single" w:sz="4" w:space="0" w:color="auto"/>
              <w:right w:val="single" w:sz="4" w:space="0" w:color="auto"/>
            </w:tcBorders>
            <w:shd w:val="clear" w:color="auto" w:fill="000000" w:themeFill="text1"/>
            <w:noWrap/>
            <w:vAlign w:val="bottom"/>
            <w:hideMark/>
          </w:tcPr>
          <w:p w:rsidR="004B4774" w:rsidRPr="003471D1" w:rsidRDefault="004B4774" w:rsidP="009A5A02">
            <w:pPr>
              <w:spacing w:line="240" w:lineRule="auto"/>
              <w:rPr>
                <w:rFonts w:ascii="Arial" w:eastAsia="Times New Roman" w:hAnsi="Arial" w:cs="Arial"/>
                <w:iCs/>
                <w:color w:val="FFFFFF" w:themeColor="background1"/>
                <w:lang w:eastAsia="en-GB"/>
              </w:rPr>
            </w:pPr>
            <w:r>
              <w:rPr>
                <w:rFonts w:ascii="Arial" w:eastAsia="Times New Roman" w:hAnsi="Arial" w:cs="Arial"/>
                <w:iCs/>
                <w:color w:val="FFFFFF" w:themeColor="background1"/>
                <w:lang w:eastAsia="en-GB"/>
              </w:rPr>
              <w:t>West Wittering</w:t>
            </w:r>
          </w:p>
        </w:tc>
        <w:tc>
          <w:tcPr>
            <w:tcW w:w="2835" w:type="dxa"/>
            <w:tcBorders>
              <w:top w:val="nil"/>
              <w:left w:val="nil"/>
              <w:bottom w:val="single" w:sz="4" w:space="0" w:color="auto"/>
              <w:right w:val="single" w:sz="4" w:space="0" w:color="auto"/>
            </w:tcBorders>
            <w:shd w:val="clear" w:color="auto" w:fill="000000" w:themeFill="text1"/>
            <w:noWrap/>
            <w:vAlign w:val="bottom"/>
            <w:hideMark/>
          </w:tcPr>
          <w:p w:rsidR="004B4774" w:rsidRPr="003471D1" w:rsidRDefault="004B4774" w:rsidP="009A5A02">
            <w:pPr>
              <w:spacing w:line="240" w:lineRule="auto"/>
              <w:rPr>
                <w:rFonts w:ascii="Arial" w:eastAsia="Times New Roman" w:hAnsi="Arial" w:cs="Arial"/>
                <w:iCs/>
                <w:color w:val="FFFFFF" w:themeColor="background1"/>
                <w:lang w:eastAsia="en-GB"/>
              </w:rPr>
            </w:pPr>
            <w:r>
              <w:rPr>
                <w:rFonts w:ascii="Arial" w:eastAsia="Times New Roman" w:hAnsi="Arial" w:cs="Arial"/>
                <w:iCs/>
                <w:color w:val="FFFFFF" w:themeColor="background1"/>
                <w:lang w:eastAsia="en-GB"/>
              </w:rPr>
              <w:t>West Wittering</w:t>
            </w:r>
          </w:p>
        </w:tc>
        <w:tc>
          <w:tcPr>
            <w:tcW w:w="2409" w:type="dxa"/>
            <w:tcBorders>
              <w:top w:val="nil"/>
              <w:left w:val="nil"/>
              <w:bottom w:val="single" w:sz="4" w:space="0" w:color="auto"/>
              <w:right w:val="single" w:sz="4" w:space="0" w:color="auto"/>
            </w:tcBorders>
            <w:shd w:val="clear" w:color="auto" w:fill="000000" w:themeFill="text1"/>
            <w:noWrap/>
            <w:vAlign w:val="bottom"/>
            <w:hideMark/>
          </w:tcPr>
          <w:p w:rsidR="004B4774" w:rsidRPr="003471D1" w:rsidRDefault="004B4774" w:rsidP="009A5A02">
            <w:pPr>
              <w:spacing w:line="240" w:lineRule="auto"/>
              <w:rPr>
                <w:rFonts w:ascii="Arial" w:eastAsia="Times New Roman" w:hAnsi="Arial" w:cs="Arial"/>
                <w:iCs/>
                <w:color w:val="FFFFFF" w:themeColor="background1"/>
                <w:lang w:eastAsia="en-GB"/>
              </w:rPr>
            </w:pPr>
            <w:r>
              <w:rPr>
                <w:rFonts w:ascii="Arial" w:eastAsia="Times New Roman" w:hAnsi="Arial" w:cs="Arial"/>
                <w:iCs/>
                <w:color w:val="FFFFFF" w:themeColor="background1"/>
                <w:lang w:eastAsia="en-GB"/>
              </w:rPr>
              <w:t>Chichester</w:t>
            </w:r>
          </w:p>
        </w:tc>
      </w:tr>
      <w:tr w:rsidR="004B4774" w:rsidRPr="003471D1" w:rsidTr="009A5A02">
        <w:trPr>
          <w:trHeight w:val="288"/>
        </w:trPr>
        <w:tc>
          <w:tcPr>
            <w:tcW w:w="1716" w:type="dxa"/>
            <w:tcBorders>
              <w:top w:val="nil"/>
              <w:left w:val="single" w:sz="4" w:space="0" w:color="auto"/>
              <w:bottom w:val="single" w:sz="4" w:space="0" w:color="auto"/>
              <w:right w:val="single" w:sz="4" w:space="0" w:color="auto"/>
            </w:tcBorders>
            <w:shd w:val="clear" w:color="000000" w:fill="BFBFBF"/>
            <w:noWrap/>
            <w:vAlign w:val="bottom"/>
            <w:hideMark/>
          </w:tcPr>
          <w:p w:rsidR="004B4774" w:rsidRPr="003471D1" w:rsidRDefault="004B4774" w:rsidP="009A5A02">
            <w:pPr>
              <w:spacing w:line="240" w:lineRule="auto"/>
              <w:rPr>
                <w:rFonts w:ascii="Arial" w:eastAsia="Times New Roman" w:hAnsi="Arial" w:cs="Arial"/>
                <w:color w:val="000000"/>
                <w:lang w:eastAsia="en-GB"/>
              </w:rPr>
            </w:pPr>
            <w:r w:rsidRPr="003471D1">
              <w:rPr>
                <w:rFonts w:ascii="Arial" w:eastAsia="Times New Roman" w:hAnsi="Arial" w:cs="Arial"/>
                <w:color w:val="000000"/>
                <w:lang w:eastAsia="en-GB"/>
              </w:rPr>
              <w:t>Detached</w:t>
            </w:r>
          </w:p>
        </w:tc>
        <w:tc>
          <w:tcPr>
            <w:tcW w:w="2127" w:type="dxa"/>
            <w:tcBorders>
              <w:top w:val="nil"/>
              <w:left w:val="nil"/>
              <w:bottom w:val="single" w:sz="4" w:space="0" w:color="auto"/>
              <w:right w:val="single" w:sz="4" w:space="0" w:color="auto"/>
            </w:tcBorders>
            <w:shd w:val="clear" w:color="auto" w:fill="auto"/>
            <w:noWrap/>
            <w:vAlign w:val="bottom"/>
            <w:hideMark/>
          </w:tcPr>
          <w:p w:rsidR="004B4774" w:rsidRPr="00FC77CF" w:rsidRDefault="004B4774" w:rsidP="009A5A02">
            <w:pPr>
              <w:spacing w:line="240" w:lineRule="auto"/>
              <w:jc w:val="right"/>
              <w:rPr>
                <w:rFonts w:eastAsia="Times New Roman" w:cstheme="minorHAnsi"/>
                <w:color w:val="000000"/>
                <w:lang w:eastAsia="en-GB"/>
              </w:rPr>
            </w:pPr>
            <w:r w:rsidRPr="00FC77CF">
              <w:rPr>
                <w:rFonts w:cstheme="minorHAnsi"/>
                <w:color w:val="000000"/>
              </w:rPr>
              <w:t>64%</w:t>
            </w:r>
          </w:p>
        </w:tc>
        <w:tc>
          <w:tcPr>
            <w:tcW w:w="2835" w:type="dxa"/>
            <w:tcBorders>
              <w:top w:val="nil"/>
              <w:left w:val="nil"/>
              <w:bottom w:val="single" w:sz="4" w:space="0" w:color="auto"/>
              <w:right w:val="single" w:sz="4" w:space="0" w:color="auto"/>
            </w:tcBorders>
            <w:shd w:val="clear" w:color="auto" w:fill="auto"/>
            <w:noWrap/>
            <w:vAlign w:val="bottom"/>
            <w:hideMark/>
          </w:tcPr>
          <w:p w:rsidR="004B4774" w:rsidRPr="00FC77CF" w:rsidRDefault="004B4774" w:rsidP="009A5A02">
            <w:pPr>
              <w:spacing w:line="240" w:lineRule="auto"/>
              <w:jc w:val="right"/>
              <w:rPr>
                <w:rFonts w:eastAsia="Times New Roman" w:cstheme="minorHAnsi"/>
                <w:color w:val="000000"/>
                <w:lang w:eastAsia="en-GB"/>
              </w:rPr>
            </w:pPr>
            <w:r w:rsidRPr="00FC77CF">
              <w:rPr>
                <w:rFonts w:cstheme="minorHAnsi"/>
                <w:color w:val="000000"/>
              </w:rPr>
              <w:t>63%</w:t>
            </w:r>
          </w:p>
        </w:tc>
        <w:tc>
          <w:tcPr>
            <w:tcW w:w="2409" w:type="dxa"/>
            <w:tcBorders>
              <w:top w:val="nil"/>
              <w:left w:val="nil"/>
              <w:bottom w:val="single" w:sz="4" w:space="0" w:color="auto"/>
              <w:right w:val="single" w:sz="4" w:space="0" w:color="auto"/>
            </w:tcBorders>
            <w:shd w:val="clear" w:color="auto" w:fill="auto"/>
            <w:noWrap/>
            <w:vAlign w:val="bottom"/>
            <w:hideMark/>
          </w:tcPr>
          <w:p w:rsidR="004B4774" w:rsidRPr="00FC77CF" w:rsidRDefault="004B4774" w:rsidP="009A5A02">
            <w:pPr>
              <w:spacing w:line="240" w:lineRule="auto"/>
              <w:jc w:val="right"/>
              <w:rPr>
                <w:rFonts w:eastAsia="Times New Roman" w:cstheme="minorHAnsi"/>
                <w:color w:val="000000"/>
                <w:lang w:eastAsia="en-GB"/>
              </w:rPr>
            </w:pPr>
            <w:r w:rsidRPr="00FC77CF">
              <w:rPr>
                <w:rFonts w:cstheme="minorHAnsi"/>
                <w:color w:val="000000"/>
              </w:rPr>
              <w:t>37%</w:t>
            </w:r>
          </w:p>
        </w:tc>
      </w:tr>
      <w:tr w:rsidR="004B4774" w:rsidRPr="003471D1" w:rsidTr="009A5A02">
        <w:trPr>
          <w:trHeight w:val="288"/>
        </w:trPr>
        <w:tc>
          <w:tcPr>
            <w:tcW w:w="1716" w:type="dxa"/>
            <w:tcBorders>
              <w:top w:val="nil"/>
              <w:left w:val="single" w:sz="4" w:space="0" w:color="auto"/>
              <w:bottom w:val="single" w:sz="4" w:space="0" w:color="auto"/>
              <w:right w:val="single" w:sz="4" w:space="0" w:color="auto"/>
            </w:tcBorders>
            <w:shd w:val="clear" w:color="000000" w:fill="BFBFBF"/>
            <w:noWrap/>
            <w:vAlign w:val="bottom"/>
            <w:hideMark/>
          </w:tcPr>
          <w:p w:rsidR="004B4774" w:rsidRPr="003471D1" w:rsidRDefault="004B4774" w:rsidP="009A5A02">
            <w:pPr>
              <w:spacing w:line="240" w:lineRule="auto"/>
              <w:rPr>
                <w:rFonts w:ascii="Arial" w:eastAsia="Times New Roman" w:hAnsi="Arial" w:cs="Arial"/>
                <w:color w:val="000000"/>
                <w:lang w:eastAsia="en-GB"/>
              </w:rPr>
            </w:pPr>
            <w:r w:rsidRPr="003471D1">
              <w:rPr>
                <w:rFonts w:ascii="Arial" w:eastAsia="Times New Roman" w:hAnsi="Arial" w:cs="Arial"/>
                <w:color w:val="000000"/>
                <w:lang w:eastAsia="en-GB"/>
              </w:rPr>
              <w:t>Semi-Detached</w:t>
            </w:r>
          </w:p>
        </w:tc>
        <w:tc>
          <w:tcPr>
            <w:tcW w:w="2127" w:type="dxa"/>
            <w:tcBorders>
              <w:top w:val="nil"/>
              <w:left w:val="nil"/>
              <w:bottom w:val="single" w:sz="4" w:space="0" w:color="auto"/>
              <w:right w:val="single" w:sz="4" w:space="0" w:color="auto"/>
            </w:tcBorders>
            <w:shd w:val="clear" w:color="auto" w:fill="auto"/>
            <w:noWrap/>
            <w:vAlign w:val="bottom"/>
            <w:hideMark/>
          </w:tcPr>
          <w:p w:rsidR="004B4774" w:rsidRPr="00FC77CF" w:rsidRDefault="004B4774" w:rsidP="009A5A02">
            <w:pPr>
              <w:spacing w:line="240" w:lineRule="auto"/>
              <w:jc w:val="right"/>
              <w:rPr>
                <w:rFonts w:eastAsia="Times New Roman" w:cstheme="minorHAnsi"/>
                <w:color w:val="000000"/>
                <w:lang w:eastAsia="en-GB"/>
              </w:rPr>
            </w:pPr>
            <w:r w:rsidRPr="00FC77CF">
              <w:rPr>
                <w:rFonts w:cstheme="minorHAnsi"/>
                <w:color w:val="000000"/>
              </w:rPr>
              <w:t>23%</w:t>
            </w:r>
          </w:p>
        </w:tc>
        <w:tc>
          <w:tcPr>
            <w:tcW w:w="2835" w:type="dxa"/>
            <w:tcBorders>
              <w:top w:val="nil"/>
              <w:left w:val="nil"/>
              <w:bottom w:val="single" w:sz="4" w:space="0" w:color="auto"/>
              <w:right w:val="single" w:sz="4" w:space="0" w:color="auto"/>
            </w:tcBorders>
            <w:shd w:val="clear" w:color="auto" w:fill="auto"/>
            <w:noWrap/>
            <w:vAlign w:val="bottom"/>
            <w:hideMark/>
          </w:tcPr>
          <w:p w:rsidR="004B4774" w:rsidRPr="00FC77CF" w:rsidRDefault="004B4774" w:rsidP="009A5A02">
            <w:pPr>
              <w:spacing w:line="240" w:lineRule="auto"/>
              <w:jc w:val="right"/>
              <w:rPr>
                <w:rFonts w:eastAsia="Times New Roman" w:cstheme="minorHAnsi"/>
                <w:color w:val="000000"/>
                <w:lang w:eastAsia="en-GB"/>
              </w:rPr>
            </w:pPr>
            <w:r w:rsidRPr="00FC77CF">
              <w:rPr>
                <w:rFonts w:cstheme="minorHAnsi"/>
                <w:color w:val="000000"/>
              </w:rPr>
              <w:t>20%</w:t>
            </w:r>
          </w:p>
        </w:tc>
        <w:tc>
          <w:tcPr>
            <w:tcW w:w="2409" w:type="dxa"/>
            <w:tcBorders>
              <w:top w:val="nil"/>
              <w:left w:val="nil"/>
              <w:bottom w:val="single" w:sz="4" w:space="0" w:color="auto"/>
              <w:right w:val="single" w:sz="4" w:space="0" w:color="auto"/>
            </w:tcBorders>
            <w:shd w:val="clear" w:color="auto" w:fill="auto"/>
            <w:noWrap/>
            <w:vAlign w:val="bottom"/>
            <w:hideMark/>
          </w:tcPr>
          <w:p w:rsidR="004B4774" w:rsidRPr="00FC77CF" w:rsidRDefault="004B4774" w:rsidP="009A5A02">
            <w:pPr>
              <w:spacing w:line="240" w:lineRule="auto"/>
              <w:jc w:val="right"/>
              <w:rPr>
                <w:rFonts w:eastAsia="Times New Roman" w:cstheme="minorHAnsi"/>
                <w:color w:val="000000"/>
                <w:lang w:eastAsia="en-GB"/>
              </w:rPr>
            </w:pPr>
            <w:r w:rsidRPr="00FC77CF">
              <w:rPr>
                <w:rFonts w:cstheme="minorHAnsi"/>
                <w:color w:val="000000"/>
              </w:rPr>
              <w:t>27%</w:t>
            </w:r>
          </w:p>
        </w:tc>
      </w:tr>
      <w:tr w:rsidR="004B4774" w:rsidRPr="003471D1" w:rsidTr="009A5A02">
        <w:trPr>
          <w:trHeight w:val="288"/>
        </w:trPr>
        <w:tc>
          <w:tcPr>
            <w:tcW w:w="1716" w:type="dxa"/>
            <w:tcBorders>
              <w:top w:val="nil"/>
              <w:left w:val="single" w:sz="4" w:space="0" w:color="auto"/>
              <w:bottom w:val="single" w:sz="4" w:space="0" w:color="auto"/>
              <w:right w:val="single" w:sz="4" w:space="0" w:color="auto"/>
            </w:tcBorders>
            <w:shd w:val="clear" w:color="000000" w:fill="BFBFBF"/>
            <w:noWrap/>
            <w:vAlign w:val="bottom"/>
            <w:hideMark/>
          </w:tcPr>
          <w:p w:rsidR="004B4774" w:rsidRPr="003471D1" w:rsidRDefault="004B4774" w:rsidP="009A5A02">
            <w:pPr>
              <w:spacing w:line="240" w:lineRule="auto"/>
              <w:rPr>
                <w:rFonts w:ascii="Arial" w:eastAsia="Times New Roman" w:hAnsi="Arial" w:cs="Arial"/>
                <w:color w:val="000000"/>
                <w:lang w:eastAsia="en-GB"/>
              </w:rPr>
            </w:pPr>
            <w:r w:rsidRPr="003471D1">
              <w:rPr>
                <w:rFonts w:ascii="Arial" w:eastAsia="Times New Roman" w:hAnsi="Arial" w:cs="Arial"/>
                <w:color w:val="000000"/>
                <w:lang w:eastAsia="en-GB"/>
              </w:rPr>
              <w:t>Terraced</w:t>
            </w:r>
          </w:p>
        </w:tc>
        <w:tc>
          <w:tcPr>
            <w:tcW w:w="2127" w:type="dxa"/>
            <w:tcBorders>
              <w:top w:val="nil"/>
              <w:left w:val="nil"/>
              <w:bottom w:val="single" w:sz="4" w:space="0" w:color="auto"/>
              <w:right w:val="single" w:sz="4" w:space="0" w:color="auto"/>
            </w:tcBorders>
            <w:shd w:val="clear" w:color="auto" w:fill="auto"/>
            <w:noWrap/>
            <w:vAlign w:val="bottom"/>
            <w:hideMark/>
          </w:tcPr>
          <w:p w:rsidR="004B4774" w:rsidRPr="00FC77CF" w:rsidRDefault="004B4774" w:rsidP="009A5A02">
            <w:pPr>
              <w:spacing w:line="240" w:lineRule="auto"/>
              <w:jc w:val="right"/>
              <w:rPr>
                <w:rFonts w:eastAsia="Times New Roman" w:cstheme="minorHAnsi"/>
                <w:color w:val="000000"/>
                <w:lang w:eastAsia="en-GB"/>
              </w:rPr>
            </w:pPr>
            <w:r w:rsidRPr="00FC77CF">
              <w:rPr>
                <w:rFonts w:cstheme="minorHAnsi"/>
                <w:color w:val="000000"/>
              </w:rPr>
              <w:t>5%</w:t>
            </w:r>
          </w:p>
        </w:tc>
        <w:tc>
          <w:tcPr>
            <w:tcW w:w="2835" w:type="dxa"/>
            <w:tcBorders>
              <w:top w:val="nil"/>
              <w:left w:val="nil"/>
              <w:bottom w:val="single" w:sz="4" w:space="0" w:color="auto"/>
              <w:right w:val="single" w:sz="4" w:space="0" w:color="auto"/>
            </w:tcBorders>
            <w:shd w:val="clear" w:color="auto" w:fill="auto"/>
            <w:noWrap/>
            <w:vAlign w:val="bottom"/>
            <w:hideMark/>
          </w:tcPr>
          <w:p w:rsidR="004B4774" w:rsidRPr="00FC77CF" w:rsidRDefault="004B4774" w:rsidP="009A5A02">
            <w:pPr>
              <w:spacing w:line="240" w:lineRule="auto"/>
              <w:jc w:val="right"/>
              <w:rPr>
                <w:rFonts w:eastAsia="Times New Roman" w:cstheme="minorHAnsi"/>
                <w:color w:val="000000"/>
                <w:lang w:eastAsia="en-GB"/>
              </w:rPr>
            </w:pPr>
            <w:r w:rsidRPr="00FC77CF">
              <w:rPr>
                <w:rFonts w:cstheme="minorHAnsi"/>
                <w:color w:val="000000"/>
              </w:rPr>
              <w:t>8%</w:t>
            </w:r>
          </w:p>
        </w:tc>
        <w:tc>
          <w:tcPr>
            <w:tcW w:w="2409" w:type="dxa"/>
            <w:tcBorders>
              <w:top w:val="nil"/>
              <w:left w:val="nil"/>
              <w:bottom w:val="single" w:sz="4" w:space="0" w:color="auto"/>
              <w:right w:val="single" w:sz="4" w:space="0" w:color="auto"/>
            </w:tcBorders>
            <w:shd w:val="clear" w:color="auto" w:fill="auto"/>
            <w:noWrap/>
            <w:vAlign w:val="bottom"/>
            <w:hideMark/>
          </w:tcPr>
          <w:p w:rsidR="004B4774" w:rsidRPr="00FC77CF" w:rsidRDefault="004B4774" w:rsidP="009A5A02">
            <w:pPr>
              <w:spacing w:line="240" w:lineRule="auto"/>
              <w:jc w:val="right"/>
              <w:rPr>
                <w:rFonts w:eastAsia="Times New Roman" w:cstheme="minorHAnsi"/>
                <w:color w:val="000000"/>
                <w:lang w:eastAsia="en-GB"/>
              </w:rPr>
            </w:pPr>
            <w:r w:rsidRPr="00FC77CF">
              <w:rPr>
                <w:rFonts w:cstheme="minorHAnsi"/>
                <w:color w:val="000000"/>
              </w:rPr>
              <w:t>18%</w:t>
            </w:r>
          </w:p>
        </w:tc>
      </w:tr>
      <w:tr w:rsidR="004B4774" w:rsidRPr="003471D1" w:rsidTr="009A5A02">
        <w:trPr>
          <w:trHeight w:val="288"/>
        </w:trPr>
        <w:tc>
          <w:tcPr>
            <w:tcW w:w="1716" w:type="dxa"/>
            <w:tcBorders>
              <w:top w:val="nil"/>
              <w:left w:val="single" w:sz="4" w:space="0" w:color="auto"/>
              <w:bottom w:val="single" w:sz="4" w:space="0" w:color="auto"/>
              <w:right w:val="single" w:sz="4" w:space="0" w:color="auto"/>
            </w:tcBorders>
            <w:shd w:val="clear" w:color="000000" w:fill="BFBFBF"/>
            <w:noWrap/>
            <w:vAlign w:val="bottom"/>
            <w:hideMark/>
          </w:tcPr>
          <w:p w:rsidR="004B4774" w:rsidRPr="003471D1" w:rsidRDefault="004B4774" w:rsidP="009A5A02">
            <w:pPr>
              <w:spacing w:line="240" w:lineRule="auto"/>
              <w:rPr>
                <w:rFonts w:ascii="Arial" w:eastAsia="Times New Roman" w:hAnsi="Arial" w:cs="Arial"/>
                <w:color w:val="000000"/>
                <w:lang w:eastAsia="en-GB"/>
              </w:rPr>
            </w:pPr>
            <w:r w:rsidRPr="003471D1">
              <w:rPr>
                <w:rFonts w:ascii="Arial" w:eastAsia="Times New Roman" w:hAnsi="Arial" w:cs="Arial"/>
                <w:color w:val="000000"/>
                <w:lang w:eastAsia="en-GB"/>
              </w:rPr>
              <w:t>Flats</w:t>
            </w:r>
          </w:p>
        </w:tc>
        <w:tc>
          <w:tcPr>
            <w:tcW w:w="2127" w:type="dxa"/>
            <w:tcBorders>
              <w:top w:val="nil"/>
              <w:left w:val="nil"/>
              <w:bottom w:val="single" w:sz="4" w:space="0" w:color="auto"/>
              <w:right w:val="single" w:sz="4" w:space="0" w:color="auto"/>
            </w:tcBorders>
            <w:shd w:val="clear" w:color="auto" w:fill="auto"/>
            <w:noWrap/>
            <w:vAlign w:val="bottom"/>
            <w:hideMark/>
          </w:tcPr>
          <w:p w:rsidR="004B4774" w:rsidRPr="00FC77CF" w:rsidRDefault="004B4774" w:rsidP="009A5A02">
            <w:pPr>
              <w:spacing w:line="240" w:lineRule="auto"/>
              <w:jc w:val="right"/>
              <w:rPr>
                <w:rFonts w:eastAsia="Times New Roman" w:cstheme="minorHAnsi"/>
                <w:color w:val="000000"/>
                <w:lang w:eastAsia="en-GB"/>
              </w:rPr>
            </w:pPr>
            <w:r w:rsidRPr="00FC77CF">
              <w:rPr>
                <w:rFonts w:cstheme="minorHAnsi"/>
                <w:color w:val="000000"/>
              </w:rPr>
              <w:t>8%</w:t>
            </w:r>
          </w:p>
        </w:tc>
        <w:tc>
          <w:tcPr>
            <w:tcW w:w="2835" w:type="dxa"/>
            <w:tcBorders>
              <w:top w:val="nil"/>
              <w:left w:val="nil"/>
              <w:bottom w:val="single" w:sz="4" w:space="0" w:color="auto"/>
              <w:right w:val="single" w:sz="4" w:space="0" w:color="auto"/>
            </w:tcBorders>
            <w:shd w:val="clear" w:color="auto" w:fill="auto"/>
            <w:noWrap/>
            <w:vAlign w:val="bottom"/>
            <w:hideMark/>
          </w:tcPr>
          <w:p w:rsidR="004B4774" w:rsidRPr="00FC77CF" w:rsidRDefault="004B4774" w:rsidP="009A5A02">
            <w:pPr>
              <w:spacing w:line="240" w:lineRule="auto"/>
              <w:jc w:val="right"/>
              <w:rPr>
                <w:rFonts w:eastAsia="Times New Roman" w:cstheme="minorHAnsi"/>
                <w:color w:val="000000"/>
                <w:lang w:eastAsia="en-GB"/>
              </w:rPr>
            </w:pPr>
            <w:r w:rsidRPr="00FC77CF">
              <w:rPr>
                <w:rFonts w:cstheme="minorHAnsi"/>
                <w:color w:val="000000"/>
              </w:rPr>
              <w:t>8%</w:t>
            </w:r>
          </w:p>
        </w:tc>
        <w:tc>
          <w:tcPr>
            <w:tcW w:w="2409" w:type="dxa"/>
            <w:tcBorders>
              <w:top w:val="nil"/>
              <w:left w:val="nil"/>
              <w:bottom w:val="single" w:sz="4" w:space="0" w:color="auto"/>
              <w:right w:val="single" w:sz="4" w:space="0" w:color="auto"/>
            </w:tcBorders>
            <w:shd w:val="clear" w:color="auto" w:fill="auto"/>
            <w:noWrap/>
            <w:vAlign w:val="bottom"/>
            <w:hideMark/>
          </w:tcPr>
          <w:p w:rsidR="004B4774" w:rsidRPr="00FC77CF" w:rsidRDefault="004B4774" w:rsidP="009A5A02">
            <w:pPr>
              <w:spacing w:line="240" w:lineRule="auto"/>
              <w:jc w:val="right"/>
              <w:rPr>
                <w:rFonts w:eastAsia="Times New Roman" w:cstheme="minorHAnsi"/>
                <w:color w:val="000000"/>
                <w:lang w:eastAsia="en-GB"/>
              </w:rPr>
            </w:pPr>
            <w:r w:rsidRPr="00FC77CF">
              <w:rPr>
                <w:rFonts w:cstheme="minorHAnsi"/>
                <w:color w:val="000000"/>
              </w:rPr>
              <w:t>16%</w:t>
            </w:r>
          </w:p>
        </w:tc>
      </w:tr>
    </w:tbl>
    <w:p w:rsidR="004B4774" w:rsidRPr="00FF08C3" w:rsidRDefault="004B4774" w:rsidP="004B4774">
      <w:pPr>
        <w:pStyle w:val="Source"/>
      </w:pPr>
      <w:r w:rsidRPr="00FF08C3">
        <w:t>Source: Census 2001/2011, Land Registry PPD, AECOM Calculations</w:t>
      </w:r>
    </w:p>
    <w:p w:rsidR="004B4774" w:rsidRDefault="004B4774" w:rsidP="004B4774">
      <w:pPr>
        <w:pStyle w:val="Heading2"/>
        <w:rPr>
          <w:lang w:val="en-US"/>
        </w:rPr>
      </w:pPr>
      <w:bookmarkStart w:id="179" w:name="_Toc495920033"/>
      <w:bookmarkStart w:id="180" w:name="_Toc504464751"/>
      <w:r>
        <w:rPr>
          <w:lang w:val="en-US"/>
        </w:rPr>
        <w:t>Migration</w:t>
      </w:r>
      <w:bookmarkEnd w:id="179"/>
      <w:bookmarkEnd w:id="180"/>
    </w:p>
    <w:p w:rsidR="004B4774" w:rsidRPr="009E7AAC" w:rsidRDefault="004B4774" w:rsidP="004B4774">
      <w:pPr>
        <w:pStyle w:val="ListNumber"/>
        <w:rPr>
          <w:lang w:val="en-US"/>
        </w:rPr>
      </w:pPr>
      <w:r>
        <w:fldChar w:fldCharType="begin"/>
      </w:r>
      <w:r>
        <w:instrText xml:space="preserve"> REF _Ref495660815 \h </w:instrText>
      </w:r>
      <w:r>
        <w:fldChar w:fldCharType="separate"/>
      </w:r>
      <w:r w:rsidR="00A258B5">
        <w:t xml:space="preserve">Table </w:t>
      </w:r>
      <w:r w:rsidR="00A258B5">
        <w:rPr>
          <w:noProof/>
        </w:rPr>
        <w:t>25</w:t>
      </w:r>
      <w:r>
        <w:fldChar w:fldCharType="end"/>
      </w:r>
      <w:r>
        <w:t xml:space="preserve"> demonstrates that </w:t>
      </w:r>
      <w:r>
        <w:rPr>
          <w:lang w:val="en-US"/>
        </w:rPr>
        <w:t xml:space="preserve">West </w:t>
      </w:r>
      <w:proofErr w:type="spellStart"/>
      <w:r>
        <w:rPr>
          <w:lang w:val="en-US"/>
        </w:rPr>
        <w:t>Wittering</w:t>
      </w:r>
      <w:proofErr w:type="spellEnd"/>
      <w:r>
        <w:rPr>
          <w:lang w:val="en-US"/>
        </w:rPr>
        <w:t xml:space="preserve"> has experienced population decrease of 3% between 2001 and 2011 while </w:t>
      </w:r>
      <w:proofErr w:type="spellStart"/>
      <w:r>
        <w:rPr>
          <w:lang w:val="en-US"/>
        </w:rPr>
        <w:t>Chichester</w:t>
      </w:r>
      <w:proofErr w:type="spellEnd"/>
      <w:r>
        <w:rPr>
          <w:lang w:val="en-US"/>
        </w:rPr>
        <w:t xml:space="preserve"> </w:t>
      </w:r>
      <w:r>
        <w:t xml:space="preserve">population increased by 7% over the same period. This would suggest a low housing demand in the NPA. Moreover, as shown in </w:t>
      </w:r>
      <w:r>
        <w:fldChar w:fldCharType="begin"/>
      </w:r>
      <w:r>
        <w:instrText xml:space="preserve"> REF _Ref495661808 \h </w:instrText>
      </w:r>
      <w:r>
        <w:fldChar w:fldCharType="separate"/>
      </w:r>
      <w:r w:rsidR="00A258B5">
        <w:t xml:space="preserve">Table </w:t>
      </w:r>
      <w:r w:rsidR="00A258B5">
        <w:rPr>
          <w:noProof/>
        </w:rPr>
        <w:t>26</w:t>
      </w:r>
      <w:r>
        <w:fldChar w:fldCharType="end"/>
      </w:r>
      <w:r>
        <w:t xml:space="preserve">, the percentage of people born outside of the UK is very low in West Wittering (6.1%). This is less than the figure for Chichester as a whole, approximately 8%, and, of those born outside of the UK, </w:t>
      </w:r>
      <w:r>
        <w:rPr>
          <w:rFonts w:ascii="Arial" w:hAnsi="Arial" w:cs="Arial"/>
          <w:color w:val="000000"/>
        </w:rPr>
        <w:t xml:space="preserve">78% </w:t>
      </w:r>
      <w:r>
        <w:t xml:space="preserve">have been living in </w:t>
      </w:r>
      <w:r>
        <w:rPr>
          <w:lang w:val="en-US"/>
        </w:rPr>
        <w:t xml:space="preserve">West </w:t>
      </w:r>
      <w:proofErr w:type="spellStart"/>
      <w:r>
        <w:rPr>
          <w:lang w:val="en-US"/>
        </w:rPr>
        <w:t>Wittering</w:t>
      </w:r>
      <w:proofErr w:type="spellEnd"/>
      <w:r>
        <w:rPr>
          <w:lang w:val="en-US"/>
        </w:rPr>
        <w:t xml:space="preserve"> </w:t>
      </w:r>
      <w:r>
        <w:t>for more than 10 years.</w:t>
      </w:r>
      <w:r w:rsidRPr="006521F7">
        <w:t xml:space="preserve"> </w:t>
      </w:r>
      <w:r>
        <w:t>Therefore, migration is not seen as a significant driver of increased housing demand in West Wittering.</w:t>
      </w:r>
    </w:p>
    <w:p w:rsidR="004B4774" w:rsidRDefault="004B4774" w:rsidP="004B4774">
      <w:pPr>
        <w:pStyle w:val="Caption"/>
      </w:pPr>
      <w:bookmarkStart w:id="181" w:name="_Ref495660815"/>
      <w:bookmarkStart w:id="182" w:name="_Toc488669621"/>
      <w:bookmarkStart w:id="183" w:name="_Toc495920055"/>
      <w:r>
        <w:lastRenderedPageBreak/>
        <w:t xml:space="preserve">Table </w:t>
      </w:r>
      <w:fldSimple w:instr=" SEQ Table \* ARABIC ">
        <w:r w:rsidR="00B25544">
          <w:rPr>
            <w:noProof/>
          </w:rPr>
          <w:t>25</w:t>
        </w:r>
      </w:fldSimple>
      <w:bookmarkEnd w:id="181"/>
      <w:r>
        <w:t xml:space="preserve">: Population by </w:t>
      </w:r>
      <w:r w:rsidR="001157B7">
        <w:t>a</w:t>
      </w:r>
      <w:r>
        <w:t xml:space="preserve">ge </w:t>
      </w:r>
      <w:r w:rsidR="001157B7">
        <w:t>g</w:t>
      </w:r>
      <w:r>
        <w:t xml:space="preserve">roup, 2001, </w:t>
      </w:r>
      <w:proofErr w:type="gramStart"/>
      <w:r>
        <w:t>2011</w:t>
      </w:r>
      <w:bookmarkEnd w:id="182"/>
      <w:bookmarkEnd w:id="183"/>
      <w:proofErr w:type="gramEnd"/>
    </w:p>
    <w:tbl>
      <w:tblPr>
        <w:tblW w:w="9077" w:type="dxa"/>
        <w:tblInd w:w="103" w:type="dxa"/>
        <w:tblLook w:val="04A0" w:firstRow="1" w:lastRow="0" w:firstColumn="1" w:lastColumn="0" w:noHBand="0" w:noVBand="1"/>
      </w:tblPr>
      <w:tblGrid>
        <w:gridCol w:w="1848"/>
        <w:gridCol w:w="1985"/>
        <w:gridCol w:w="1701"/>
        <w:gridCol w:w="1701"/>
        <w:gridCol w:w="1842"/>
      </w:tblGrid>
      <w:tr w:rsidR="004B4774" w:rsidRPr="00117252" w:rsidTr="009A5A02">
        <w:trPr>
          <w:trHeight w:val="300"/>
        </w:trPr>
        <w:tc>
          <w:tcPr>
            <w:tcW w:w="1848" w:type="dxa"/>
            <w:tcBorders>
              <w:top w:val="single" w:sz="4" w:space="0" w:color="auto"/>
              <w:left w:val="single" w:sz="4" w:space="0" w:color="auto"/>
              <w:bottom w:val="single" w:sz="4" w:space="0" w:color="auto"/>
              <w:right w:val="single" w:sz="4" w:space="0" w:color="auto"/>
            </w:tcBorders>
            <w:shd w:val="clear" w:color="auto" w:fill="000000" w:themeFill="text1"/>
            <w:noWrap/>
            <w:vAlign w:val="bottom"/>
            <w:hideMark/>
          </w:tcPr>
          <w:p w:rsidR="004B4774" w:rsidRPr="00117252" w:rsidRDefault="004B4774" w:rsidP="009A5A02">
            <w:pPr>
              <w:spacing w:line="240" w:lineRule="auto"/>
              <w:rPr>
                <w:rFonts w:asciiTheme="majorHAnsi" w:eastAsia="Times New Roman" w:hAnsiTheme="majorHAnsi" w:cstheme="majorHAnsi"/>
                <w:b/>
                <w:bCs/>
                <w:color w:val="FFFFFF" w:themeColor="background1"/>
                <w:lang w:eastAsia="en-GB"/>
              </w:rPr>
            </w:pPr>
            <w:r w:rsidRPr="00117252">
              <w:rPr>
                <w:rFonts w:asciiTheme="majorHAnsi" w:eastAsia="Times New Roman" w:hAnsiTheme="majorHAnsi" w:cstheme="majorHAnsi"/>
                <w:b/>
                <w:bCs/>
                <w:color w:val="FFFFFF" w:themeColor="background1"/>
                <w:lang w:eastAsia="en-GB"/>
              </w:rPr>
              <w:t> </w:t>
            </w:r>
          </w:p>
        </w:tc>
        <w:tc>
          <w:tcPr>
            <w:tcW w:w="1985" w:type="dxa"/>
            <w:tcBorders>
              <w:top w:val="single" w:sz="4" w:space="0" w:color="auto"/>
              <w:left w:val="nil"/>
              <w:bottom w:val="single" w:sz="4" w:space="0" w:color="auto"/>
              <w:right w:val="single" w:sz="4" w:space="0" w:color="auto"/>
            </w:tcBorders>
            <w:shd w:val="clear" w:color="auto" w:fill="000000" w:themeFill="text1"/>
            <w:noWrap/>
            <w:vAlign w:val="bottom"/>
            <w:hideMark/>
          </w:tcPr>
          <w:p w:rsidR="004B4774" w:rsidRPr="00117252" w:rsidRDefault="004B4774" w:rsidP="009A5A02">
            <w:pPr>
              <w:spacing w:line="240" w:lineRule="auto"/>
              <w:jc w:val="center"/>
              <w:rPr>
                <w:rFonts w:asciiTheme="majorHAnsi" w:eastAsia="Times New Roman" w:hAnsiTheme="majorHAnsi" w:cstheme="majorHAnsi"/>
                <w:b/>
                <w:bCs/>
                <w:color w:val="FFFFFF" w:themeColor="background1"/>
                <w:lang w:eastAsia="en-GB"/>
              </w:rPr>
            </w:pPr>
            <w:r w:rsidRPr="00117252">
              <w:rPr>
                <w:rFonts w:asciiTheme="majorHAnsi" w:eastAsia="Times New Roman" w:hAnsiTheme="majorHAnsi" w:cstheme="majorHAnsi"/>
                <w:b/>
                <w:bCs/>
                <w:color w:val="FFFFFF" w:themeColor="background1"/>
                <w:lang w:eastAsia="en-GB"/>
              </w:rPr>
              <w:t>2001</w:t>
            </w:r>
          </w:p>
        </w:tc>
        <w:tc>
          <w:tcPr>
            <w:tcW w:w="1701" w:type="dxa"/>
            <w:tcBorders>
              <w:top w:val="single" w:sz="4" w:space="0" w:color="auto"/>
              <w:left w:val="nil"/>
              <w:bottom w:val="single" w:sz="4" w:space="0" w:color="auto"/>
              <w:right w:val="single" w:sz="4" w:space="0" w:color="auto"/>
            </w:tcBorders>
            <w:shd w:val="clear" w:color="auto" w:fill="000000" w:themeFill="text1"/>
            <w:noWrap/>
            <w:vAlign w:val="bottom"/>
            <w:hideMark/>
          </w:tcPr>
          <w:p w:rsidR="004B4774" w:rsidRPr="00117252" w:rsidRDefault="004B4774" w:rsidP="009A5A02">
            <w:pPr>
              <w:spacing w:line="240" w:lineRule="auto"/>
              <w:jc w:val="center"/>
              <w:rPr>
                <w:rFonts w:asciiTheme="majorHAnsi" w:eastAsia="Times New Roman" w:hAnsiTheme="majorHAnsi" w:cstheme="majorHAnsi"/>
                <w:b/>
                <w:bCs/>
                <w:color w:val="FFFFFF" w:themeColor="background1"/>
                <w:lang w:eastAsia="en-GB"/>
              </w:rPr>
            </w:pPr>
            <w:r w:rsidRPr="00117252">
              <w:rPr>
                <w:rFonts w:asciiTheme="majorHAnsi" w:eastAsia="Times New Roman" w:hAnsiTheme="majorHAnsi" w:cstheme="majorHAnsi"/>
                <w:b/>
                <w:bCs/>
                <w:color w:val="FFFFFF" w:themeColor="background1"/>
                <w:lang w:eastAsia="en-GB"/>
              </w:rPr>
              <w:t>2001</w:t>
            </w:r>
          </w:p>
        </w:tc>
        <w:tc>
          <w:tcPr>
            <w:tcW w:w="1701" w:type="dxa"/>
            <w:tcBorders>
              <w:top w:val="single" w:sz="4" w:space="0" w:color="auto"/>
              <w:left w:val="nil"/>
              <w:bottom w:val="single" w:sz="4" w:space="0" w:color="auto"/>
              <w:right w:val="single" w:sz="4" w:space="0" w:color="auto"/>
            </w:tcBorders>
            <w:shd w:val="clear" w:color="auto" w:fill="000000" w:themeFill="text1"/>
            <w:noWrap/>
            <w:vAlign w:val="bottom"/>
            <w:hideMark/>
          </w:tcPr>
          <w:p w:rsidR="004B4774" w:rsidRPr="00117252" w:rsidRDefault="004B4774" w:rsidP="009A5A02">
            <w:pPr>
              <w:spacing w:line="240" w:lineRule="auto"/>
              <w:jc w:val="center"/>
              <w:rPr>
                <w:rFonts w:asciiTheme="majorHAnsi" w:eastAsia="Times New Roman" w:hAnsiTheme="majorHAnsi" w:cstheme="majorHAnsi"/>
                <w:b/>
                <w:bCs/>
                <w:color w:val="FFFFFF" w:themeColor="background1"/>
                <w:lang w:eastAsia="en-GB"/>
              </w:rPr>
            </w:pPr>
            <w:r w:rsidRPr="00117252">
              <w:rPr>
                <w:rFonts w:asciiTheme="majorHAnsi" w:eastAsia="Times New Roman" w:hAnsiTheme="majorHAnsi" w:cstheme="majorHAnsi"/>
                <w:b/>
                <w:bCs/>
                <w:color w:val="FFFFFF" w:themeColor="background1"/>
                <w:lang w:eastAsia="en-GB"/>
              </w:rPr>
              <w:t>2011</w:t>
            </w:r>
          </w:p>
        </w:tc>
        <w:tc>
          <w:tcPr>
            <w:tcW w:w="1842" w:type="dxa"/>
            <w:tcBorders>
              <w:top w:val="single" w:sz="4" w:space="0" w:color="auto"/>
              <w:left w:val="nil"/>
              <w:bottom w:val="single" w:sz="4" w:space="0" w:color="auto"/>
              <w:right w:val="single" w:sz="4" w:space="0" w:color="auto"/>
            </w:tcBorders>
            <w:shd w:val="clear" w:color="auto" w:fill="000000" w:themeFill="text1"/>
            <w:noWrap/>
            <w:vAlign w:val="bottom"/>
            <w:hideMark/>
          </w:tcPr>
          <w:p w:rsidR="004B4774" w:rsidRPr="00117252" w:rsidRDefault="004B4774" w:rsidP="009A5A02">
            <w:pPr>
              <w:spacing w:line="240" w:lineRule="auto"/>
              <w:jc w:val="center"/>
              <w:rPr>
                <w:rFonts w:asciiTheme="majorHAnsi" w:eastAsia="Times New Roman" w:hAnsiTheme="majorHAnsi" w:cstheme="majorHAnsi"/>
                <w:b/>
                <w:bCs/>
                <w:color w:val="FFFFFF" w:themeColor="background1"/>
                <w:lang w:eastAsia="en-GB"/>
              </w:rPr>
            </w:pPr>
            <w:r w:rsidRPr="00117252">
              <w:rPr>
                <w:rFonts w:asciiTheme="majorHAnsi" w:eastAsia="Times New Roman" w:hAnsiTheme="majorHAnsi" w:cstheme="majorHAnsi"/>
                <w:b/>
                <w:bCs/>
                <w:color w:val="FFFFFF" w:themeColor="background1"/>
                <w:lang w:eastAsia="en-GB"/>
              </w:rPr>
              <w:t>2011</w:t>
            </w:r>
          </w:p>
        </w:tc>
      </w:tr>
      <w:tr w:rsidR="004B4774" w:rsidRPr="00117252" w:rsidTr="009A5A02">
        <w:trPr>
          <w:trHeight w:val="300"/>
        </w:trPr>
        <w:tc>
          <w:tcPr>
            <w:tcW w:w="1848" w:type="dxa"/>
            <w:tcBorders>
              <w:top w:val="nil"/>
              <w:left w:val="single" w:sz="4" w:space="0" w:color="auto"/>
              <w:bottom w:val="single" w:sz="4" w:space="0" w:color="auto"/>
              <w:right w:val="single" w:sz="4" w:space="0" w:color="auto"/>
            </w:tcBorders>
            <w:shd w:val="clear" w:color="auto" w:fill="000000" w:themeFill="text1"/>
            <w:noWrap/>
            <w:vAlign w:val="bottom"/>
            <w:hideMark/>
          </w:tcPr>
          <w:p w:rsidR="004B4774" w:rsidRPr="00117252" w:rsidRDefault="004B4774" w:rsidP="009A5A02">
            <w:pPr>
              <w:spacing w:line="240" w:lineRule="auto"/>
              <w:rPr>
                <w:rFonts w:asciiTheme="majorHAnsi" w:eastAsia="Times New Roman" w:hAnsiTheme="majorHAnsi" w:cstheme="majorHAnsi"/>
                <w:b/>
                <w:bCs/>
                <w:color w:val="FFFFFF" w:themeColor="background1"/>
                <w:lang w:eastAsia="en-GB"/>
              </w:rPr>
            </w:pPr>
            <w:r w:rsidRPr="00117252">
              <w:rPr>
                <w:rFonts w:asciiTheme="majorHAnsi" w:eastAsia="Times New Roman" w:hAnsiTheme="majorHAnsi" w:cstheme="majorHAnsi"/>
                <w:b/>
                <w:bCs/>
                <w:color w:val="FFFFFF" w:themeColor="background1"/>
                <w:lang w:eastAsia="en-GB"/>
              </w:rPr>
              <w:t>Age group</w:t>
            </w:r>
          </w:p>
        </w:tc>
        <w:tc>
          <w:tcPr>
            <w:tcW w:w="1985" w:type="dxa"/>
            <w:tcBorders>
              <w:top w:val="nil"/>
              <w:left w:val="nil"/>
              <w:bottom w:val="single" w:sz="4" w:space="0" w:color="auto"/>
              <w:right w:val="single" w:sz="4" w:space="0" w:color="auto"/>
            </w:tcBorders>
            <w:shd w:val="clear" w:color="auto" w:fill="000000" w:themeFill="text1"/>
            <w:noWrap/>
            <w:vAlign w:val="bottom"/>
            <w:hideMark/>
          </w:tcPr>
          <w:p w:rsidR="004B4774" w:rsidRPr="00D01CAE" w:rsidRDefault="004B4774" w:rsidP="009A5A02">
            <w:pPr>
              <w:spacing w:line="240" w:lineRule="auto"/>
              <w:jc w:val="center"/>
              <w:rPr>
                <w:rFonts w:asciiTheme="majorHAnsi" w:eastAsia="Times New Roman" w:hAnsiTheme="majorHAnsi" w:cstheme="majorHAnsi"/>
                <w:b/>
                <w:bCs/>
                <w:color w:val="FFFFFF" w:themeColor="background1"/>
                <w:lang w:eastAsia="en-GB"/>
              </w:rPr>
            </w:pPr>
            <w:r w:rsidRPr="00D01CAE">
              <w:rPr>
                <w:rFonts w:ascii="Calibri" w:hAnsi="Calibri"/>
                <w:b/>
                <w:bCs/>
                <w:color w:val="FFFFFF" w:themeColor="background1"/>
                <w:sz w:val="22"/>
                <w:szCs w:val="22"/>
              </w:rPr>
              <w:t>West Wittering</w:t>
            </w:r>
          </w:p>
        </w:tc>
        <w:tc>
          <w:tcPr>
            <w:tcW w:w="1701" w:type="dxa"/>
            <w:tcBorders>
              <w:top w:val="nil"/>
              <w:left w:val="nil"/>
              <w:bottom w:val="single" w:sz="4" w:space="0" w:color="auto"/>
              <w:right w:val="single" w:sz="4" w:space="0" w:color="auto"/>
            </w:tcBorders>
            <w:shd w:val="clear" w:color="auto" w:fill="000000" w:themeFill="text1"/>
            <w:noWrap/>
            <w:vAlign w:val="bottom"/>
            <w:hideMark/>
          </w:tcPr>
          <w:p w:rsidR="004B4774" w:rsidRPr="00D01CAE" w:rsidRDefault="004B4774" w:rsidP="009A5A02">
            <w:pPr>
              <w:spacing w:line="240" w:lineRule="auto"/>
              <w:jc w:val="center"/>
              <w:rPr>
                <w:rFonts w:asciiTheme="majorHAnsi" w:eastAsia="Times New Roman" w:hAnsiTheme="majorHAnsi" w:cstheme="majorHAnsi"/>
                <w:b/>
                <w:bCs/>
                <w:color w:val="FFFFFF" w:themeColor="background1"/>
                <w:lang w:eastAsia="en-GB"/>
              </w:rPr>
            </w:pPr>
            <w:r w:rsidRPr="00D01CAE">
              <w:rPr>
                <w:rFonts w:ascii="Calibri" w:hAnsi="Calibri"/>
                <w:b/>
                <w:bCs/>
                <w:color w:val="FFFFFF" w:themeColor="background1"/>
                <w:sz w:val="22"/>
                <w:szCs w:val="22"/>
              </w:rPr>
              <w:t>Chichester</w:t>
            </w:r>
          </w:p>
        </w:tc>
        <w:tc>
          <w:tcPr>
            <w:tcW w:w="1701" w:type="dxa"/>
            <w:tcBorders>
              <w:top w:val="nil"/>
              <w:left w:val="nil"/>
              <w:bottom w:val="single" w:sz="4" w:space="0" w:color="auto"/>
              <w:right w:val="single" w:sz="4" w:space="0" w:color="auto"/>
            </w:tcBorders>
            <w:shd w:val="clear" w:color="auto" w:fill="000000" w:themeFill="text1"/>
            <w:noWrap/>
            <w:vAlign w:val="bottom"/>
            <w:hideMark/>
          </w:tcPr>
          <w:p w:rsidR="004B4774" w:rsidRPr="00D01CAE" w:rsidRDefault="004B4774" w:rsidP="009A5A02">
            <w:pPr>
              <w:spacing w:line="240" w:lineRule="auto"/>
              <w:jc w:val="center"/>
              <w:rPr>
                <w:rFonts w:asciiTheme="majorHAnsi" w:eastAsia="Times New Roman" w:hAnsiTheme="majorHAnsi" w:cstheme="majorHAnsi"/>
                <w:b/>
                <w:bCs/>
                <w:color w:val="FFFFFF" w:themeColor="background1"/>
                <w:lang w:eastAsia="en-GB"/>
              </w:rPr>
            </w:pPr>
            <w:r w:rsidRPr="00D01CAE">
              <w:rPr>
                <w:rFonts w:ascii="Calibri" w:hAnsi="Calibri"/>
                <w:b/>
                <w:bCs/>
                <w:color w:val="FFFFFF" w:themeColor="background1"/>
                <w:sz w:val="22"/>
                <w:szCs w:val="22"/>
              </w:rPr>
              <w:t>West Wittering</w:t>
            </w:r>
          </w:p>
        </w:tc>
        <w:tc>
          <w:tcPr>
            <w:tcW w:w="1842" w:type="dxa"/>
            <w:tcBorders>
              <w:top w:val="nil"/>
              <w:left w:val="nil"/>
              <w:bottom w:val="single" w:sz="4" w:space="0" w:color="auto"/>
              <w:right w:val="single" w:sz="4" w:space="0" w:color="auto"/>
            </w:tcBorders>
            <w:shd w:val="clear" w:color="auto" w:fill="000000" w:themeFill="text1"/>
            <w:noWrap/>
            <w:vAlign w:val="bottom"/>
            <w:hideMark/>
          </w:tcPr>
          <w:p w:rsidR="004B4774" w:rsidRPr="00D01CAE" w:rsidRDefault="004B4774" w:rsidP="009A5A02">
            <w:pPr>
              <w:spacing w:line="240" w:lineRule="auto"/>
              <w:jc w:val="center"/>
              <w:rPr>
                <w:rFonts w:asciiTheme="majorHAnsi" w:eastAsia="Times New Roman" w:hAnsiTheme="majorHAnsi" w:cstheme="majorHAnsi"/>
                <w:b/>
                <w:bCs/>
                <w:color w:val="FFFFFF" w:themeColor="background1"/>
                <w:lang w:eastAsia="en-GB"/>
              </w:rPr>
            </w:pPr>
            <w:r w:rsidRPr="00D01CAE">
              <w:rPr>
                <w:rFonts w:ascii="Calibri" w:hAnsi="Calibri"/>
                <w:b/>
                <w:bCs/>
                <w:color w:val="FFFFFF" w:themeColor="background1"/>
                <w:sz w:val="22"/>
                <w:szCs w:val="22"/>
              </w:rPr>
              <w:t>Chichester</w:t>
            </w:r>
          </w:p>
        </w:tc>
      </w:tr>
      <w:tr w:rsidR="004B4774" w:rsidRPr="00117252" w:rsidTr="009A5A02">
        <w:trPr>
          <w:trHeight w:val="300"/>
        </w:trPr>
        <w:tc>
          <w:tcPr>
            <w:tcW w:w="1848"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rsidR="004B4774" w:rsidRPr="00117252" w:rsidRDefault="004B4774" w:rsidP="009A5A02">
            <w:pPr>
              <w:spacing w:line="240" w:lineRule="auto"/>
              <w:rPr>
                <w:rFonts w:asciiTheme="majorHAnsi" w:eastAsia="Times New Roman" w:hAnsiTheme="majorHAnsi" w:cstheme="majorHAnsi"/>
                <w:color w:val="000000"/>
                <w:lang w:eastAsia="en-GB"/>
              </w:rPr>
            </w:pPr>
            <w:r w:rsidRPr="00117252">
              <w:rPr>
                <w:rFonts w:asciiTheme="majorHAnsi" w:eastAsia="Times New Roman" w:hAnsiTheme="majorHAnsi" w:cstheme="majorHAnsi"/>
                <w:color w:val="000000"/>
                <w:lang w:eastAsia="en-GB"/>
              </w:rPr>
              <w:t>0-15</w:t>
            </w:r>
          </w:p>
        </w:tc>
        <w:tc>
          <w:tcPr>
            <w:tcW w:w="1985" w:type="dxa"/>
            <w:tcBorders>
              <w:top w:val="nil"/>
              <w:left w:val="nil"/>
              <w:bottom w:val="single" w:sz="4" w:space="0" w:color="auto"/>
              <w:right w:val="single" w:sz="4" w:space="0" w:color="auto"/>
            </w:tcBorders>
            <w:shd w:val="clear" w:color="auto" w:fill="auto"/>
            <w:noWrap/>
            <w:vAlign w:val="bottom"/>
            <w:hideMark/>
          </w:tcPr>
          <w:p w:rsidR="004B4774" w:rsidRPr="00D01CAE" w:rsidRDefault="004B4774" w:rsidP="009A5A02">
            <w:pPr>
              <w:jc w:val="center"/>
              <w:rPr>
                <w:rFonts w:cstheme="minorHAnsi"/>
                <w:color w:val="000000"/>
              </w:rPr>
            </w:pPr>
            <w:r w:rsidRPr="00D01CAE">
              <w:rPr>
                <w:rFonts w:cstheme="minorHAnsi"/>
                <w:color w:val="000000"/>
              </w:rPr>
              <w:t>309</w:t>
            </w:r>
          </w:p>
        </w:tc>
        <w:tc>
          <w:tcPr>
            <w:tcW w:w="1701" w:type="dxa"/>
            <w:tcBorders>
              <w:top w:val="nil"/>
              <w:left w:val="nil"/>
              <w:bottom w:val="single" w:sz="4" w:space="0" w:color="auto"/>
              <w:right w:val="single" w:sz="4" w:space="0" w:color="auto"/>
            </w:tcBorders>
            <w:shd w:val="clear" w:color="auto" w:fill="auto"/>
            <w:noWrap/>
            <w:vAlign w:val="bottom"/>
            <w:hideMark/>
          </w:tcPr>
          <w:p w:rsidR="004B4774" w:rsidRPr="00D01CAE" w:rsidRDefault="004B4774" w:rsidP="009A5A02">
            <w:pPr>
              <w:jc w:val="center"/>
              <w:rPr>
                <w:rFonts w:cstheme="minorHAnsi"/>
                <w:color w:val="000000"/>
              </w:rPr>
            </w:pPr>
            <w:r w:rsidRPr="00D01CAE">
              <w:rPr>
                <w:rFonts w:cstheme="minorHAnsi"/>
                <w:color w:val="000000"/>
              </w:rPr>
              <w:t>18,900</w:t>
            </w:r>
          </w:p>
        </w:tc>
        <w:tc>
          <w:tcPr>
            <w:tcW w:w="1701" w:type="dxa"/>
            <w:tcBorders>
              <w:top w:val="nil"/>
              <w:left w:val="nil"/>
              <w:bottom w:val="single" w:sz="4" w:space="0" w:color="auto"/>
              <w:right w:val="single" w:sz="4" w:space="0" w:color="auto"/>
            </w:tcBorders>
            <w:shd w:val="clear" w:color="auto" w:fill="auto"/>
            <w:noWrap/>
            <w:vAlign w:val="bottom"/>
            <w:hideMark/>
          </w:tcPr>
          <w:p w:rsidR="004B4774" w:rsidRPr="00D01CAE" w:rsidRDefault="004B4774" w:rsidP="009A5A02">
            <w:pPr>
              <w:jc w:val="center"/>
              <w:rPr>
                <w:rFonts w:cstheme="minorHAnsi"/>
                <w:color w:val="000000"/>
              </w:rPr>
            </w:pPr>
            <w:r w:rsidRPr="00D01CAE">
              <w:rPr>
                <w:rFonts w:cstheme="minorHAnsi"/>
                <w:color w:val="000000"/>
              </w:rPr>
              <w:t>293</w:t>
            </w:r>
          </w:p>
        </w:tc>
        <w:tc>
          <w:tcPr>
            <w:tcW w:w="1842" w:type="dxa"/>
            <w:tcBorders>
              <w:top w:val="nil"/>
              <w:left w:val="nil"/>
              <w:bottom w:val="single" w:sz="4" w:space="0" w:color="auto"/>
              <w:right w:val="single" w:sz="4" w:space="0" w:color="auto"/>
            </w:tcBorders>
            <w:shd w:val="clear" w:color="auto" w:fill="auto"/>
            <w:noWrap/>
            <w:vAlign w:val="bottom"/>
            <w:hideMark/>
          </w:tcPr>
          <w:p w:rsidR="004B4774" w:rsidRPr="00D01CAE" w:rsidRDefault="004B4774" w:rsidP="009A5A02">
            <w:pPr>
              <w:jc w:val="center"/>
              <w:rPr>
                <w:rFonts w:cstheme="minorHAnsi"/>
                <w:color w:val="000000"/>
              </w:rPr>
            </w:pPr>
            <w:r w:rsidRPr="00D01CAE">
              <w:rPr>
                <w:rFonts w:cstheme="minorHAnsi"/>
                <w:color w:val="000000"/>
              </w:rPr>
              <w:t>18,633</w:t>
            </w:r>
          </w:p>
        </w:tc>
      </w:tr>
      <w:tr w:rsidR="004B4774" w:rsidRPr="00117252" w:rsidTr="009A5A02">
        <w:trPr>
          <w:trHeight w:val="300"/>
        </w:trPr>
        <w:tc>
          <w:tcPr>
            <w:tcW w:w="1848"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rsidR="004B4774" w:rsidRPr="00117252" w:rsidRDefault="004B4774" w:rsidP="009A5A02">
            <w:pPr>
              <w:spacing w:line="240" w:lineRule="auto"/>
              <w:rPr>
                <w:rFonts w:asciiTheme="majorHAnsi" w:eastAsia="Times New Roman" w:hAnsiTheme="majorHAnsi" w:cstheme="majorHAnsi"/>
                <w:color w:val="000000"/>
                <w:lang w:eastAsia="en-GB"/>
              </w:rPr>
            </w:pPr>
            <w:r w:rsidRPr="00117252">
              <w:rPr>
                <w:rFonts w:asciiTheme="majorHAnsi" w:eastAsia="Times New Roman" w:hAnsiTheme="majorHAnsi" w:cstheme="majorHAnsi"/>
                <w:color w:val="000000"/>
                <w:lang w:eastAsia="en-GB"/>
              </w:rPr>
              <w:t>16-24</w:t>
            </w:r>
          </w:p>
        </w:tc>
        <w:tc>
          <w:tcPr>
            <w:tcW w:w="1985" w:type="dxa"/>
            <w:tcBorders>
              <w:top w:val="nil"/>
              <w:left w:val="nil"/>
              <w:bottom w:val="single" w:sz="4" w:space="0" w:color="auto"/>
              <w:right w:val="single" w:sz="4" w:space="0" w:color="auto"/>
            </w:tcBorders>
            <w:shd w:val="clear" w:color="auto" w:fill="auto"/>
            <w:noWrap/>
            <w:vAlign w:val="center"/>
            <w:hideMark/>
          </w:tcPr>
          <w:p w:rsidR="004B4774" w:rsidRPr="00D01CAE" w:rsidRDefault="004B4774" w:rsidP="009A5A02">
            <w:pPr>
              <w:jc w:val="center"/>
              <w:rPr>
                <w:rFonts w:cstheme="minorHAnsi"/>
                <w:color w:val="000000"/>
              </w:rPr>
            </w:pPr>
            <w:r w:rsidRPr="00D01CAE">
              <w:rPr>
                <w:rFonts w:cstheme="minorHAnsi"/>
                <w:color w:val="000000"/>
              </w:rPr>
              <w:t>199</w:t>
            </w:r>
          </w:p>
        </w:tc>
        <w:tc>
          <w:tcPr>
            <w:tcW w:w="1701" w:type="dxa"/>
            <w:tcBorders>
              <w:top w:val="nil"/>
              <w:left w:val="nil"/>
              <w:bottom w:val="single" w:sz="4" w:space="0" w:color="auto"/>
              <w:right w:val="single" w:sz="4" w:space="0" w:color="auto"/>
            </w:tcBorders>
            <w:shd w:val="clear" w:color="auto" w:fill="auto"/>
            <w:noWrap/>
            <w:vAlign w:val="center"/>
            <w:hideMark/>
          </w:tcPr>
          <w:p w:rsidR="004B4774" w:rsidRPr="00D01CAE" w:rsidRDefault="004B4774" w:rsidP="009A5A02">
            <w:pPr>
              <w:jc w:val="center"/>
              <w:rPr>
                <w:rFonts w:cstheme="minorHAnsi"/>
                <w:color w:val="000000"/>
              </w:rPr>
            </w:pPr>
            <w:r w:rsidRPr="00D01CAE">
              <w:rPr>
                <w:rFonts w:cstheme="minorHAnsi"/>
                <w:color w:val="000000"/>
              </w:rPr>
              <w:t>9,900</w:t>
            </w:r>
          </w:p>
        </w:tc>
        <w:tc>
          <w:tcPr>
            <w:tcW w:w="1701" w:type="dxa"/>
            <w:tcBorders>
              <w:top w:val="nil"/>
              <w:left w:val="nil"/>
              <w:bottom w:val="single" w:sz="4" w:space="0" w:color="auto"/>
              <w:right w:val="single" w:sz="4" w:space="0" w:color="auto"/>
            </w:tcBorders>
            <w:shd w:val="clear" w:color="auto" w:fill="auto"/>
            <w:noWrap/>
            <w:vAlign w:val="center"/>
            <w:hideMark/>
          </w:tcPr>
          <w:p w:rsidR="004B4774" w:rsidRPr="00D01CAE" w:rsidRDefault="004B4774" w:rsidP="009A5A02">
            <w:pPr>
              <w:jc w:val="center"/>
              <w:rPr>
                <w:rFonts w:cstheme="minorHAnsi"/>
                <w:color w:val="000000"/>
              </w:rPr>
            </w:pPr>
            <w:r w:rsidRPr="00D01CAE">
              <w:rPr>
                <w:rFonts w:cstheme="minorHAnsi"/>
                <w:color w:val="000000"/>
              </w:rPr>
              <w:t>167</w:t>
            </w:r>
          </w:p>
        </w:tc>
        <w:tc>
          <w:tcPr>
            <w:tcW w:w="1842" w:type="dxa"/>
            <w:tcBorders>
              <w:top w:val="nil"/>
              <w:left w:val="nil"/>
              <w:bottom w:val="single" w:sz="4" w:space="0" w:color="auto"/>
              <w:right w:val="single" w:sz="4" w:space="0" w:color="auto"/>
            </w:tcBorders>
            <w:shd w:val="clear" w:color="auto" w:fill="auto"/>
            <w:noWrap/>
            <w:vAlign w:val="center"/>
            <w:hideMark/>
          </w:tcPr>
          <w:p w:rsidR="004B4774" w:rsidRPr="00D01CAE" w:rsidRDefault="004B4774" w:rsidP="009A5A02">
            <w:pPr>
              <w:jc w:val="center"/>
              <w:rPr>
                <w:rFonts w:cstheme="minorHAnsi"/>
                <w:color w:val="000000"/>
              </w:rPr>
            </w:pPr>
            <w:r w:rsidRPr="00D01CAE">
              <w:rPr>
                <w:rFonts w:cstheme="minorHAnsi"/>
                <w:color w:val="000000"/>
              </w:rPr>
              <w:t>11,458</w:t>
            </w:r>
          </w:p>
        </w:tc>
      </w:tr>
      <w:tr w:rsidR="004B4774" w:rsidRPr="00117252" w:rsidTr="009A5A02">
        <w:trPr>
          <w:trHeight w:val="300"/>
        </w:trPr>
        <w:tc>
          <w:tcPr>
            <w:tcW w:w="1848"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rsidR="004B4774" w:rsidRPr="00117252" w:rsidRDefault="004B4774" w:rsidP="009A5A02">
            <w:pPr>
              <w:spacing w:line="240" w:lineRule="auto"/>
              <w:rPr>
                <w:rFonts w:asciiTheme="majorHAnsi" w:eastAsia="Times New Roman" w:hAnsiTheme="majorHAnsi" w:cstheme="majorHAnsi"/>
                <w:color w:val="000000"/>
                <w:lang w:eastAsia="en-GB"/>
              </w:rPr>
            </w:pPr>
            <w:r w:rsidRPr="00117252">
              <w:rPr>
                <w:rFonts w:asciiTheme="majorHAnsi" w:eastAsia="Times New Roman" w:hAnsiTheme="majorHAnsi" w:cstheme="majorHAnsi"/>
                <w:color w:val="000000"/>
                <w:lang w:eastAsia="en-GB"/>
              </w:rPr>
              <w:t>25-44</w:t>
            </w:r>
          </w:p>
        </w:tc>
        <w:tc>
          <w:tcPr>
            <w:tcW w:w="1985" w:type="dxa"/>
            <w:tcBorders>
              <w:top w:val="nil"/>
              <w:left w:val="nil"/>
              <w:bottom w:val="single" w:sz="4" w:space="0" w:color="auto"/>
              <w:right w:val="single" w:sz="4" w:space="0" w:color="auto"/>
            </w:tcBorders>
            <w:shd w:val="clear" w:color="auto" w:fill="auto"/>
            <w:noWrap/>
            <w:vAlign w:val="bottom"/>
            <w:hideMark/>
          </w:tcPr>
          <w:p w:rsidR="004B4774" w:rsidRPr="00D01CAE" w:rsidRDefault="004B4774" w:rsidP="009A5A02">
            <w:pPr>
              <w:jc w:val="center"/>
              <w:rPr>
                <w:rFonts w:cstheme="minorHAnsi"/>
                <w:color w:val="000000"/>
              </w:rPr>
            </w:pPr>
            <w:r w:rsidRPr="00D01CAE">
              <w:rPr>
                <w:rFonts w:cstheme="minorHAnsi"/>
                <w:color w:val="000000"/>
              </w:rPr>
              <w:t>407</w:t>
            </w:r>
          </w:p>
        </w:tc>
        <w:tc>
          <w:tcPr>
            <w:tcW w:w="1701" w:type="dxa"/>
            <w:tcBorders>
              <w:top w:val="nil"/>
              <w:left w:val="nil"/>
              <w:bottom w:val="single" w:sz="4" w:space="0" w:color="auto"/>
              <w:right w:val="single" w:sz="4" w:space="0" w:color="auto"/>
            </w:tcBorders>
            <w:shd w:val="clear" w:color="auto" w:fill="auto"/>
            <w:noWrap/>
            <w:vAlign w:val="bottom"/>
            <w:hideMark/>
          </w:tcPr>
          <w:p w:rsidR="004B4774" w:rsidRPr="00D01CAE" w:rsidRDefault="004B4774" w:rsidP="009A5A02">
            <w:pPr>
              <w:jc w:val="center"/>
              <w:rPr>
                <w:rFonts w:cstheme="minorHAnsi"/>
                <w:color w:val="000000"/>
              </w:rPr>
            </w:pPr>
            <w:r w:rsidRPr="00D01CAE">
              <w:rPr>
                <w:rFonts w:cstheme="minorHAnsi"/>
                <w:color w:val="000000"/>
              </w:rPr>
              <w:t>24,938</w:t>
            </w:r>
          </w:p>
        </w:tc>
        <w:tc>
          <w:tcPr>
            <w:tcW w:w="1701" w:type="dxa"/>
            <w:tcBorders>
              <w:top w:val="nil"/>
              <w:left w:val="nil"/>
              <w:bottom w:val="single" w:sz="4" w:space="0" w:color="auto"/>
              <w:right w:val="single" w:sz="4" w:space="0" w:color="auto"/>
            </w:tcBorders>
            <w:shd w:val="clear" w:color="auto" w:fill="auto"/>
            <w:noWrap/>
            <w:vAlign w:val="bottom"/>
            <w:hideMark/>
          </w:tcPr>
          <w:p w:rsidR="004B4774" w:rsidRPr="00D01CAE" w:rsidRDefault="004B4774" w:rsidP="009A5A02">
            <w:pPr>
              <w:jc w:val="center"/>
              <w:rPr>
                <w:rFonts w:cstheme="minorHAnsi"/>
                <w:color w:val="000000"/>
              </w:rPr>
            </w:pPr>
            <w:r w:rsidRPr="00D01CAE">
              <w:rPr>
                <w:rFonts w:cstheme="minorHAnsi"/>
                <w:color w:val="000000"/>
              </w:rPr>
              <w:t>378</w:t>
            </w:r>
          </w:p>
        </w:tc>
        <w:tc>
          <w:tcPr>
            <w:tcW w:w="1842" w:type="dxa"/>
            <w:tcBorders>
              <w:top w:val="nil"/>
              <w:left w:val="nil"/>
              <w:bottom w:val="single" w:sz="4" w:space="0" w:color="auto"/>
              <w:right w:val="single" w:sz="4" w:space="0" w:color="auto"/>
            </w:tcBorders>
            <w:shd w:val="clear" w:color="auto" w:fill="auto"/>
            <w:noWrap/>
            <w:vAlign w:val="bottom"/>
            <w:hideMark/>
          </w:tcPr>
          <w:p w:rsidR="004B4774" w:rsidRPr="00D01CAE" w:rsidRDefault="004B4774" w:rsidP="009A5A02">
            <w:pPr>
              <w:jc w:val="center"/>
              <w:rPr>
                <w:rFonts w:cstheme="minorHAnsi"/>
                <w:color w:val="000000"/>
              </w:rPr>
            </w:pPr>
            <w:r w:rsidRPr="00D01CAE">
              <w:rPr>
                <w:rFonts w:cstheme="minorHAnsi"/>
                <w:color w:val="000000"/>
              </w:rPr>
              <w:t>23,973</w:t>
            </w:r>
          </w:p>
        </w:tc>
      </w:tr>
      <w:tr w:rsidR="004B4774" w:rsidRPr="00117252" w:rsidTr="009A5A02">
        <w:trPr>
          <w:trHeight w:val="300"/>
        </w:trPr>
        <w:tc>
          <w:tcPr>
            <w:tcW w:w="1848"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rsidR="004B4774" w:rsidRPr="00117252" w:rsidRDefault="004B4774" w:rsidP="009A5A02">
            <w:pPr>
              <w:spacing w:line="240" w:lineRule="auto"/>
              <w:rPr>
                <w:rFonts w:asciiTheme="majorHAnsi" w:eastAsia="Times New Roman" w:hAnsiTheme="majorHAnsi" w:cstheme="majorHAnsi"/>
                <w:color w:val="000000"/>
                <w:lang w:eastAsia="en-GB"/>
              </w:rPr>
            </w:pPr>
            <w:r w:rsidRPr="00117252">
              <w:rPr>
                <w:rFonts w:asciiTheme="majorHAnsi" w:eastAsia="Times New Roman" w:hAnsiTheme="majorHAnsi" w:cstheme="majorHAnsi"/>
                <w:color w:val="000000"/>
                <w:lang w:eastAsia="en-GB"/>
              </w:rPr>
              <w:t>45-64</w:t>
            </w:r>
          </w:p>
        </w:tc>
        <w:tc>
          <w:tcPr>
            <w:tcW w:w="1985" w:type="dxa"/>
            <w:tcBorders>
              <w:top w:val="nil"/>
              <w:left w:val="nil"/>
              <w:bottom w:val="single" w:sz="4" w:space="0" w:color="auto"/>
              <w:right w:val="single" w:sz="4" w:space="0" w:color="auto"/>
            </w:tcBorders>
            <w:shd w:val="clear" w:color="auto" w:fill="auto"/>
            <w:noWrap/>
            <w:vAlign w:val="bottom"/>
            <w:hideMark/>
          </w:tcPr>
          <w:p w:rsidR="004B4774" w:rsidRPr="00D01CAE" w:rsidRDefault="004B4774" w:rsidP="009A5A02">
            <w:pPr>
              <w:jc w:val="center"/>
              <w:rPr>
                <w:rFonts w:cstheme="minorHAnsi"/>
                <w:color w:val="000000"/>
              </w:rPr>
            </w:pPr>
            <w:r w:rsidRPr="00D01CAE">
              <w:rPr>
                <w:rFonts w:cstheme="minorHAnsi"/>
                <w:color w:val="000000"/>
              </w:rPr>
              <w:t>785</w:t>
            </w:r>
          </w:p>
        </w:tc>
        <w:tc>
          <w:tcPr>
            <w:tcW w:w="1701" w:type="dxa"/>
            <w:tcBorders>
              <w:top w:val="nil"/>
              <w:left w:val="nil"/>
              <w:bottom w:val="single" w:sz="4" w:space="0" w:color="auto"/>
              <w:right w:val="single" w:sz="4" w:space="0" w:color="auto"/>
            </w:tcBorders>
            <w:shd w:val="clear" w:color="auto" w:fill="auto"/>
            <w:noWrap/>
            <w:vAlign w:val="bottom"/>
            <w:hideMark/>
          </w:tcPr>
          <w:p w:rsidR="004B4774" w:rsidRPr="00D01CAE" w:rsidRDefault="004B4774" w:rsidP="009A5A02">
            <w:pPr>
              <w:jc w:val="center"/>
              <w:rPr>
                <w:rFonts w:cstheme="minorHAnsi"/>
                <w:color w:val="000000"/>
              </w:rPr>
            </w:pPr>
            <w:r w:rsidRPr="00D01CAE">
              <w:rPr>
                <w:rFonts w:cstheme="minorHAnsi"/>
                <w:color w:val="000000"/>
              </w:rPr>
              <w:t>28,201</w:t>
            </w:r>
          </w:p>
        </w:tc>
        <w:tc>
          <w:tcPr>
            <w:tcW w:w="1701" w:type="dxa"/>
            <w:tcBorders>
              <w:top w:val="nil"/>
              <w:left w:val="nil"/>
              <w:bottom w:val="single" w:sz="4" w:space="0" w:color="auto"/>
              <w:right w:val="single" w:sz="4" w:space="0" w:color="auto"/>
            </w:tcBorders>
            <w:shd w:val="clear" w:color="auto" w:fill="auto"/>
            <w:noWrap/>
            <w:vAlign w:val="bottom"/>
            <w:hideMark/>
          </w:tcPr>
          <w:p w:rsidR="004B4774" w:rsidRPr="00D01CAE" w:rsidRDefault="004B4774" w:rsidP="009A5A02">
            <w:pPr>
              <w:jc w:val="center"/>
              <w:rPr>
                <w:rFonts w:cstheme="minorHAnsi"/>
                <w:color w:val="000000"/>
              </w:rPr>
            </w:pPr>
            <w:r w:rsidRPr="00D01CAE">
              <w:rPr>
                <w:rFonts w:cstheme="minorHAnsi"/>
                <w:color w:val="000000"/>
              </w:rPr>
              <w:t>726</w:t>
            </w:r>
          </w:p>
        </w:tc>
        <w:tc>
          <w:tcPr>
            <w:tcW w:w="1842" w:type="dxa"/>
            <w:tcBorders>
              <w:top w:val="nil"/>
              <w:left w:val="nil"/>
              <w:bottom w:val="single" w:sz="4" w:space="0" w:color="auto"/>
              <w:right w:val="single" w:sz="4" w:space="0" w:color="auto"/>
            </w:tcBorders>
            <w:shd w:val="clear" w:color="auto" w:fill="auto"/>
            <w:noWrap/>
            <w:vAlign w:val="bottom"/>
            <w:hideMark/>
          </w:tcPr>
          <w:p w:rsidR="004B4774" w:rsidRPr="00D01CAE" w:rsidRDefault="004B4774" w:rsidP="009A5A02">
            <w:pPr>
              <w:jc w:val="center"/>
              <w:rPr>
                <w:rFonts w:cstheme="minorHAnsi"/>
                <w:color w:val="000000"/>
              </w:rPr>
            </w:pPr>
            <w:r w:rsidRPr="00D01CAE">
              <w:rPr>
                <w:rFonts w:cstheme="minorHAnsi"/>
                <w:color w:val="000000"/>
              </w:rPr>
              <w:t>31,836</w:t>
            </w:r>
          </w:p>
        </w:tc>
      </w:tr>
      <w:tr w:rsidR="004B4774" w:rsidRPr="00117252" w:rsidTr="009A5A02">
        <w:trPr>
          <w:trHeight w:val="288"/>
        </w:trPr>
        <w:tc>
          <w:tcPr>
            <w:tcW w:w="1848"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rsidR="004B4774" w:rsidRPr="00117252" w:rsidRDefault="004B4774" w:rsidP="009A5A02">
            <w:pPr>
              <w:spacing w:line="240" w:lineRule="auto"/>
              <w:rPr>
                <w:rFonts w:asciiTheme="majorHAnsi" w:eastAsia="Times New Roman" w:hAnsiTheme="majorHAnsi" w:cstheme="majorHAnsi"/>
                <w:color w:val="000000"/>
                <w:lang w:eastAsia="en-GB"/>
              </w:rPr>
            </w:pPr>
            <w:r w:rsidRPr="00117252">
              <w:rPr>
                <w:rFonts w:asciiTheme="majorHAnsi" w:eastAsia="Times New Roman" w:hAnsiTheme="majorHAnsi" w:cstheme="majorHAnsi"/>
                <w:color w:val="000000"/>
                <w:lang w:eastAsia="en-GB"/>
              </w:rPr>
              <w:t>65-84</w:t>
            </w:r>
          </w:p>
        </w:tc>
        <w:tc>
          <w:tcPr>
            <w:tcW w:w="1985" w:type="dxa"/>
            <w:tcBorders>
              <w:top w:val="nil"/>
              <w:left w:val="nil"/>
              <w:bottom w:val="single" w:sz="4" w:space="0" w:color="auto"/>
              <w:right w:val="single" w:sz="4" w:space="0" w:color="auto"/>
            </w:tcBorders>
            <w:shd w:val="clear" w:color="auto" w:fill="auto"/>
            <w:noWrap/>
            <w:vAlign w:val="bottom"/>
            <w:hideMark/>
          </w:tcPr>
          <w:p w:rsidR="004B4774" w:rsidRPr="00D01CAE" w:rsidRDefault="004B4774" w:rsidP="009A5A02">
            <w:pPr>
              <w:jc w:val="center"/>
              <w:rPr>
                <w:rFonts w:cstheme="minorHAnsi"/>
                <w:color w:val="000000"/>
              </w:rPr>
            </w:pPr>
            <w:r w:rsidRPr="00D01CAE">
              <w:rPr>
                <w:rFonts w:cstheme="minorHAnsi"/>
                <w:color w:val="000000"/>
              </w:rPr>
              <w:t>920</w:t>
            </w:r>
          </w:p>
        </w:tc>
        <w:tc>
          <w:tcPr>
            <w:tcW w:w="1701" w:type="dxa"/>
            <w:tcBorders>
              <w:top w:val="nil"/>
              <w:left w:val="nil"/>
              <w:bottom w:val="single" w:sz="4" w:space="0" w:color="auto"/>
              <w:right w:val="single" w:sz="4" w:space="0" w:color="auto"/>
            </w:tcBorders>
            <w:shd w:val="clear" w:color="auto" w:fill="auto"/>
            <w:noWrap/>
            <w:vAlign w:val="bottom"/>
            <w:hideMark/>
          </w:tcPr>
          <w:p w:rsidR="004B4774" w:rsidRPr="00D01CAE" w:rsidRDefault="004B4774" w:rsidP="009A5A02">
            <w:pPr>
              <w:jc w:val="center"/>
              <w:rPr>
                <w:rFonts w:cstheme="minorHAnsi"/>
                <w:color w:val="000000"/>
              </w:rPr>
            </w:pPr>
            <w:r w:rsidRPr="00D01CAE">
              <w:rPr>
                <w:rFonts w:cstheme="minorHAnsi"/>
                <w:color w:val="000000"/>
              </w:rPr>
              <w:t>20,990</w:t>
            </w:r>
          </w:p>
        </w:tc>
        <w:tc>
          <w:tcPr>
            <w:tcW w:w="1701" w:type="dxa"/>
            <w:tcBorders>
              <w:top w:val="nil"/>
              <w:left w:val="nil"/>
              <w:bottom w:val="single" w:sz="4" w:space="0" w:color="auto"/>
              <w:right w:val="single" w:sz="4" w:space="0" w:color="auto"/>
            </w:tcBorders>
            <w:shd w:val="clear" w:color="auto" w:fill="auto"/>
            <w:noWrap/>
            <w:vAlign w:val="bottom"/>
            <w:hideMark/>
          </w:tcPr>
          <w:p w:rsidR="004B4774" w:rsidRPr="00D01CAE" w:rsidRDefault="004B4774" w:rsidP="009A5A02">
            <w:pPr>
              <w:jc w:val="center"/>
              <w:rPr>
                <w:rFonts w:cstheme="minorHAnsi"/>
                <w:color w:val="000000"/>
              </w:rPr>
            </w:pPr>
            <w:r w:rsidRPr="00D01CAE">
              <w:rPr>
                <w:rFonts w:cstheme="minorHAnsi"/>
                <w:color w:val="000000"/>
              </w:rPr>
              <w:t>927</w:t>
            </w:r>
          </w:p>
        </w:tc>
        <w:tc>
          <w:tcPr>
            <w:tcW w:w="1842" w:type="dxa"/>
            <w:tcBorders>
              <w:top w:val="nil"/>
              <w:left w:val="nil"/>
              <w:bottom w:val="single" w:sz="4" w:space="0" w:color="auto"/>
              <w:right w:val="single" w:sz="4" w:space="0" w:color="auto"/>
            </w:tcBorders>
            <w:shd w:val="clear" w:color="auto" w:fill="auto"/>
            <w:noWrap/>
            <w:vAlign w:val="bottom"/>
            <w:hideMark/>
          </w:tcPr>
          <w:p w:rsidR="004B4774" w:rsidRPr="00D01CAE" w:rsidRDefault="004B4774" w:rsidP="009A5A02">
            <w:pPr>
              <w:jc w:val="center"/>
              <w:rPr>
                <w:rFonts w:cstheme="minorHAnsi"/>
                <w:color w:val="000000"/>
              </w:rPr>
            </w:pPr>
            <w:r w:rsidRPr="00D01CAE">
              <w:rPr>
                <w:rFonts w:cstheme="minorHAnsi"/>
                <w:color w:val="000000"/>
              </w:rPr>
              <w:t>23,602</w:t>
            </w:r>
          </w:p>
        </w:tc>
      </w:tr>
      <w:tr w:rsidR="004B4774" w:rsidRPr="00117252" w:rsidTr="009A5A02">
        <w:trPr>
          <w:trHeight w:val="288"/>
        </w:trPr>
        <w:tc>
          <w:tcPr>
            <w:tcW w:w="1848"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rsidR="004B4774" w:rsidRPr="00117252" w:rsidRDefault="004B4774" w:rsidP="009A5A02">
            <w:pPr>
              <w:spacing w:line="240" w:lineRule="auto"/>
              <w:rPr>
                <w:rFonts w:asciiTheme="majorHAnsi" w:eastAsia="Times New Roman" w:hAnsiTheme="majorHAnsi" w:cstheme="majorHAnsi"/>
                <w:color w:val="000000"/>
                <w:lang w:eastAsia="en-GB"/>
              </w:rPr>
            </w:pPr>
            <w:r w:rsidRPr="00117252">
              <w:rPr>
                <w:rFonts w:asciiTheme="majorHAnsi" w:eastAsia="Times New Roman" w:hAnsiTheme="majorHAnsi" w:cstheme="majorHAnsi"/>
                <w:color w:val="000000"/>
                <w:lang w:eastAsia="en-GB"/>
              </w:rPr>
              <w:t>85 and over</w:t>
            </w:r>
          </w:p>
        </w:tc>
        <w:tc>
          <w:tcPr>
            <w:tcW w:w="1985" w:type="dxa"/>
            <w:tcBorders>
              <w:top w:val="nil"/>
              <w:left w:val="nil"/>
              <w:bottom w:val="single" w:sz="4" w:space="0" w:color="auto"/>
              <w:right w:val="single" w:sz="4" w:space="0" w:color="auto"/>
            </w:tcBorders>
            <w:shd w:val="clear" w:color="auto" w:fill="auto"/>
            <w:noWrap/>
            <w:vAlign w:val="bottom"/>
            <w:hideMark/>
          </w:tcPr>
          <w:p w:rsidR="004B4774" w:rsidRPr="00D01CAE" w:rsidRDefault="004B4774" w:rsidP="009A5A02">
            <w:pPr>
              <w:jc w:val="center"/>
              <w:rPr>
                <w:rFonts w:cstheme="minorHAnsi"/>
                <w:color w:val="000000"/>
              </w:rPr>
            </w:pPr>
            <w:r w:rsidRPr="00D01CAE">
              <w:rPr>
                <w:rFonts w:cstheme="minorHAnsi"/>
                <w:color w:val="000000"/>
              </w:rPr>
              <w:t>172</w:t>
            </w:r>
          </w:p>
        </w:tc>
        <w:tc>
          <w:tcPr>
            <w:tcW w:w="1701" w:type="dxa"/>
            <w:tcBorders>
              <w:top w:val="nil"/>
              <w:left w:val="nil"/>
              <w:bottom w:val="single" w:sz="4" w:space="0" w:color="auto"/>
              <w:right w:val="single" w:sz="4" w:space="0" w:color="auto"/>
            </w:tcBorders>
            <w:shd w:val="clear" w:color="auto" w:fill="auto"/>
            <w:noWrap/>
            <w:vAlign w:val="bottom"/>
            <w:hideMark/>
          </w:tcPr>
          <w:p w:rsidR="004B4774" w:rsidRPr="00D01CAE" w:rsidRDefault="004B4774" w:rsidP="009A5A02">
            <w:pPr>
              <w:jc w:val="center"/>
              <w:rPr>
                <w:rFonts w:cstheme="minorHAnsi"/>
                <w:color w:val="000000"/>
              </w:rPr>
            </w:pPr>
            <w:r w:rsidRPr="00D01CAE">
              <w:rPr>
                <w:rFonts w:cstheme="minorHAnsi"/>
                <w:color w:val="000000"/>
              </w:rPr>
              <w:t>3,521</w:t>
            </w:r>
          </w:p>
        </w:tc>
        <w:tc>
          <w:tcPr>
            <w:tcW w:w="1701" w:type="dxa"/>
            <w:tcBorders>
              <w:top w:val="nil"/>
              <w:left w:val="nil"/>
              <w:bottom w:val="single" w:sz="4" w:space="0" w:color="auto"/>
              <w:right w:val="single" w:sz="4" w:space="0" w:color="auto"/>
            </w:tcBorders>
            <w:shd w:val="clear" w:color="auto" w:fill="auto"/>
            <w:noWrap/>
            <w:vAlign w:val="bottom"/>
            <w:hideMark/>
          </w:tcPr>
          <w:p w:rsidR="004B4774" w:rsidRPr="00D01CAE" w:rsidRDefault="004B4774" w:rsidP="009A5A02">
            <w:pPr>
              <w:jc w:val="center"/>
              <w:rPr>
                <w:rFonts w:cstheme="minorHAnsi"/>
                <w:color w:val="000000"/>
              </w:rPr>
            </w:pPr>
            <w:r w:rsidRPr="00D01CAE">
              <w:rPr>
                <w:rFonts w:cstheme="minorHAnsi"/>
                <w:color w:val="000000"/>
              </w:rPr>
              <w:t>209</w:t>
            </w:r>
          </w:p>
        </w:tc>
        <w:tc>
          <w:tcPr>
            <w:tcW w:w="1842" w:type="dxa"/>
            <w:tcBorders>
              <w:top w:val="nil"/>
              <w:left w:val="nil"/>
              <w:bottom w:val="single" w:sz="4" w:space="0" w:color="auto"/>
              <w:right w:val="single" w:sz="4" w:space="0" w:color="auto"/>
            </w:tcBorders>
            <w:shd w:val="clear" w:color="auto" w:fill="auto"/>
            <w:noWrap/>
            <w:vAlign w:val="bottom"/>
            <w:hideMark/>
          </w:tcPr>
          <w:p w:rsidR="004B4774" w:rsidRPr="00D01CAE" w:rsidRDefault="004B4774" w:rsidP="009A5A02">
            <w:pPr>
              <w:jc w:val="center"/>
              <w:rPr>
                <w:rFonts w:cstheme="minorHAnsi"/>
                <w:color w:val="000000"/>
              </w:rPr>
            </w:pPr>
            <w:r w:rsidRPr="00D01CAE">
              <w:rPr>
                <w:rFonts w:cstheme="minorHAnsi"/>
                <w:color w:val="000000"/>
              </w:rPr>
              <w:t>4,292</w:t>
            </w:r>
          </w:p>
        </w:tc>
      </w:tr>
      <w:tr w:rsidR="004B4774" w:rsidRPr="00117252" w:rsidTr="009A5A02">
        <w:trPr>
          <w:trHeight w:val="288"/>
        </w:trPr>
        <w:tc>
          <w:tcPr>
            <w:tcW w:w="1848"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rsidR="004B4774" w:rsidRPr="00117252" w:rsidRDefault="004B4774" w:rsidP="009A5A02">
            <w:pPr>
              <w:spacing w:line="240" w:lineRule="auto"/>
              <w:rPr>
                <w:rFonts w:asciiTheme="majorHAnsi" w:eastAsia="Times New Roman" w:hAnsiTheme="majorHAnsi" w:cstheme="majorHAnsi"/>
                <w:color w:val="000000"/>
                <w:lang w:eastAsia="en-GB"/>
              </w:rPr>
            </w:pPr>
            <w:r w:rsidRPr="00117252">
              <w:rPr>
                <w:rFonts w:asciiTheme="majorHAnsi" w:eastAsia="Times New Roman" w:hAnsiTheme="majorHAnsi" w:cstheme="majorHAnsi"/>
                <w:color w:val="000000"/>
                <w:lang w:eastAsia="en-GB"/>
              </w:rPr>
              <w:t>All</w:t>
            </w:r>
          </w:p>
        </w:tc>
        <w:tc>
          <w:tcPr>
            <w:tcW w:w="1985" w:type="dxa"/>
            <w:tcBorders>
              <w:top w:val="nil"/>
              <w:left w:val="nil"/>
              <w:bottom w:val="single" w:sz="4" w:space="0" w:color="auto"/>
              <w:right w:val="single" w:sz="4" w:space="0" w:color="auto"/>
            </w:tcBorders>
            <w:shd w:val="clear" w:color="auto" w:fill="auto"/>
            <w:noWrap/>
            <w:vAlign w:val="bottom"/>
            <w:hideMark/>
          </w:tcPr>
          <w:p w:rsidR="004B4774" w:rsidRPr="00A52425" w:rsidRDefault="004B4774" w:rsidP="009A5A02">
            <w:pPr>
              <w:jc w:val="center"/>
              <w:rPr>
                <w:rFonts w:cstheme="minorHAnsi"/>
              </w:rPr>
            </w:pPr>
            <w:r w:rsidRPr="00A52425">
              <w:rPr>
                <w:rFonts w:cstheme="minorHAnsi"/>
                <w:color w:val="000000"/>
              </w:rPr>
              <w:t>2,792</w:t>
            </w:r>
          </w:p>
        </w:tc>
        <w:tc>
          <w:tcPr>
            <w:tcW w:w="1701" w:type="dxa"/>
            <w:tcBorders>
              <w:top w:val="nil"/>
              <w:left w:val="nil"/>
              <w:bottom w:val="single" w:sz="4" w:space="0" w:color="auto"/>
              <w:right w:val="single" w:sz="4" w:space="0" w:color="auto"/>
            </w:tcBorders>
            <w:shd w:val="clear" w:color="auto" w:fill="auto"/>
            <w:noWrap/>
            <w:vAlign w:val="bottom"/>
            <w:hideMark/>
          </w:tcPr>
          <w:p w:rsidR="004B4774" w:rsidRPr="00A52425" w:rsidRDefault="004B4774" w:rsidP="009A5A02">
            <w:pPr>
              <w:jc w:val="center"/>
              <w:rPr>
                <w:rFonts w:cstheme="minorHAnsi"/>
              </w:rPr>
            </w:pPr>
            <w:r w:rsidRPr="00A52425">
              <w:rPr>
                <w:rFonts w:cstheme="minorHAnsi"/>
                <w:color w:val="000000"/>
              </w:rPr>
              <w:t>106,450</w:t>
            </w:r>
          </w:p>
        </w:tc>
        <w:tc>
          <w:tcPr>
            <w:tcW w:w="1701" w:type="dxa"/>
            <w:tcBorders>
              <w:top w:val="nil"/>
              <w:left w:val="nil"/>
              <w:bottom w:val="single" w:sz="4" w:space="0" w:color="auto"/>
              <w:right w:val="single" w:sz="4" w:space="0" w:color="auto"/>
            </w:tcBorders>
            <w:shd w:val="clear" w:color="auto" w:fill="auto"/>
            <w:noWrap/>
            <w:vAlign w:val="bottom"/>
            <w:hideMark/>
          </w:tcPr>
          <w:p w:rsidR="004B4774" w:rsidRPr="00A52425" w:rsidRDefault="004B4774" w:rsidP="009A5A02">
            <w:pPr>
              <w:jc w:val="center"/>
              <w:rPr>
                <w:rFonts w:cstheme="minorHAnsi"/>
              </w:rPr>
            </w:pPr>
            <w:r w:rsidRPr="00A52425">
              <w:rPr>
                <w:rFonts w:cstheme="minorHAnsi"/>
                <w:color w:val="000000"/>
              </w:rPr>
              <w:t>2,700</w:t>
            </w:r>
          </w:p>
        </w:tc>
        <w:tc>
          <w:tcPr>
            <w:tcW w:w="1842" w:type="dxa"/>
            <w:tcBorders>
              <w:top w:val="nil"/>
              <w:left w:val="nil"/>
              <w:bottom w:val="single" w:sz="4" w:space="0" w:color="auto"/>
              <w:right w:val="single" w:sz="4" w:space="0" w:color="auto"/>
            </w:tcBorders>
            <w:shd w:val="clear" w:color="auto" w:fill="auto"/>
            <w:noWrap/>
            <w:vAlign w:val="bottom"/>
            <w:hideMark/>
          </w:tcPr>
          <w:p w:rsidR="004B4774" w:rsidRPr="00A52425" w:rsidRDefault="004B4774" w:rsidP="009A5A02">
            <w:pPr>
              <w:jc w:val="center"/>
              <w:rPr>
                <w:rFonts w:cstheme="minorHAnsi"/>
              </w:rPr>
            </w:pPr>
            <w:r w:rsidRPr="00A52425">
              <w:rPr>
                <w:rFonts w:cstheme="minorHAnsi"/>
                <w:color w:val="000000"/>
              </w:rPr>
              <w:t>113,794</w:t>
            </w:r>
          </w:p>
        </w:tc>
      </w:tr>
      <w:tr w:rsidR="004B4774" w:rsidRPr="00117252" w:rsidTr="009A5A02">
        <w:trPr>
          <w:trHeight w:val="288"/>
        </w:trPr>
        <w:tc>
          <w:tcPr>
            <w:tcW w:w="1848"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rsidR="004B4774" w:rsidRPr="00117252" w:rsidRDefault="004B4774" w:rsidP="009A5A02">
            <w:pPr>
              <w:spacing w:line="240" w:lineRule="auto"/>
              <w:rPr>
                <w:rFonts w:asciiTheme="majorHAnsi" w:eastAsia="Times New Roman" w:hAnsiTheme="majorHAnsi" w:cstheme="majorHAnsi"/>
                <w:color w:val="000000"/>
                <w:lang w:eastAsia="en-GB"/>
              </w:rPr>
            </w:pPr>
            <w:r w:rsidRPr="00117252">
              <w:rPr>
                <w:rFonts w:asciiTheme="majorHAnsi" w:eastAsia="Times New Roman" w:hAnsiTheme="majorHAnsi" w:cstheme="majorHAnsi"/>
                <w:color w:val="000000"/>
                <w:lang w:eastAsia="en-GB"/>
              </w:rPr>
              <w:t>Percentage Growth</w:t>
            </w:r>
          </w:p>
        </w:tc>
        <w:tc>
          <w:tcPr>
            <w:tcW w:w="1985" w:type="dxa"/>
            <w:tcBorders>
              <w:top w:val="nil"/>
              <w:left w:val="nil"/>
              <w:bottom w:val="single" w:sz="4" w:space="0" w:color="auto"/>
              <w:right w:val="single" w:sz="4" w:space="0" w:color="auto"/>
            </w:tcBorders>
            <w:shd w:val="clear" w:color="auto" w:fill="auto"/>
            <w:noWrap/>
            <w:vAlign w:val="bottom"/>
            <w:hideMark/>
          </w:tcPr>
          <w:p w:rsidR="004B4774" w:rsidRPr="00117252" w:rsidRDefault="004B4774" w:rsidP="009A5A02">
            <w:pPr>
              <w:spacing w:line="240" w:lineRule="auto"/>
              <w:rPr>
                <w:rFonts w:asciiTheme="majorHAnsi" w:eastAsia="Times New Roman" w:hAnsiTheme="majorHAnsi" w:cstheme="majorHAnsi"/>
                <w:color w:val="000000"/>
                <w:lang w:eastAsia="en-GB"/>
              </w:rPr>
            </w:pPr>
            <w:r w:rsidRPr="00117252">
              <w:rPr>
                <w:rFonts w:asciiTheme="majorHAnsi" w:eastAsia="Times New Roman" w:hAnsiTheme="majorHAnsi" w:cstheme="majorHAnsi"/>
                <w:color w:val="000000"/>
                <w:lang w:eastAsia="en-GB"/>
              </w:rPr>
              <w:t> </w:t>
            </w:r>
          </w:p>
        </w:tc>
        <w:tc>
          <w:tcPr>
            <w:tcW w:w="1701" w:type="dxa"/>
            <w:tcBorders>
              <w:top w:val="nil"/>
              <w:left w:val="nil"/>
              <w:bottom w:val="single" w:sz="4" w:space="0" w:color="auto"/>
              <w:right w:val="single" w:sz="4" w:space="0" w:color="auto"/>
            </w:tcBorders>
            <w:shd w:val="clear" w:color="auto" w:fill="auto"/>
            <w:noWrap/>
            <w:vAlign w:val="bottom"/>
            <w:hideMark/>
          </w:tcPr>
          <w:p w:rsidR="004B4774" w:rsidRPr="00117252" w:rsidRDefault="004B4774" w:rsidP="009A5A02">
            <w:pPr>
              <w:spacing w:line="240" w:lineRule="auto"/>
              <w:rPr>
                <w:rFonts w:asciiTheme="majorHAnsi" w:eastAsia="Times New Roman" w:hAnsiTheme="majorHAnsi" w:cstheme="majorHAnsi"/>
                <w:color w:val="000000"/>
                <w:lang w:eastAsia="en-GB"/>
              </w:rPr>
            </w:pPr>
            <w:r w:rsidRPr="00117252">
              <w:rPr>
                <w:rFonts w:asciiTheme="majorHAnsi" w:eastAsia="Times New Roman" w:hAnsiTheme="majorHAnsi" w:cstheme="majorHAnsi"/>
                <w:color w:val="000000"/>
                <w:lang w:eastAsia="en-GB"/>
              </w:rPr>
              <w:t> </w:t>
            </w:r>
          </w:p>
        </w:tc>
        <w:tc>
          <w:tcPr>
            <w:tcW w:w="1701" w:type="dxa"/>
            <w:tcBorders>
              <w:top w:val="nil"/>
              <w:left w:val="nil"/>
              <w:bottom w:val="single" w:sz="4" w:space="0" w:color="auto"/>
              <w:right w:val="single" w:sz="4" w:space="0" w:color="auto"/>
            </w:tcBorders>
            <w:shd w:val="clear" w:color="auto" w:fill="auto"/>
            <w:noWrap/>
            <w:vAlign w:val="bottom"/>
            <w:hideMark/>
          </w:tcPr>
          <w:p w:rsidR="004B4774" w:rsidRPr="00613ACE" w:rsidRDefault="004B4774" w:rsidP="009A5A02">
            <w:pPr>
              <w:jc w:val="center"/>
              <w:rPr>
                <w:rFonts w:cstheme="minorHAnsi"/>
              </w:rPr>
            </w:pPr>
            <w:r>
              <w:rPr>
                <w:rFonts w:cstheme="minorHAnsi"/>
              </w:rPr>
              <w:t>-3</w:t>
            </w:r>
            <w:r w:rsidRPr="00613ACE">
              <w:rPr>
                <w:rFonts w:cstheme="minorHAnsi"/>
              </w:rPr>
              <w:t>%</w:t>
            </w:r>
          </w:p>
        </w:tc>
        <w:tc>
          <w:tcPr>
            <w:tcW w:w="1842" w:type="dxa"/>
            <w:tcBorders>
              <w:top w:val="nil"/>
              <w:left w:val="nil"/>
              <w:bottom w:val="single" w:sz="4" w:space="0" w:color="auto"/>
              <w:right w:val="single" w:sz="4" w:space="0" w:color="auto"/>
            </w:tcBorders>
            <w:shd w:val="clear" w:color="auto" w:fill="auto"/>
            <w:noWrap/>
            <w:vAlign w:val="bottom"/>
            <w:hideMark/>
          </w:tcPr>
          <w:p w:rsidR="004B4774" w:rsidRPr="00613ACE" w:rsidRDefault="004B4774" w:rsidP="009A5A02">
            <w:pPr>
              <w:jc w:val="center"/>
              <w:rPr>
                <w:rFonts w:cstheme="minorHAnsi"/>
              </w:rPr>
            </w:pPr>
            <w:r w:rsidRPr="00613ACE">
              <w:rPr>
                <w:rFonts w:cstheme="minorHAnsi"/>
              </w:rPr>
              <w:t>7%</w:t>
            </w:r>
          </w:p>
        </w:tc>
      </w:tr>
    </w:tbl>
    <w:p w:rsidR="004B4774" w:rsidRPr="00C174FF" w:rsidRDefault="004B4774" w:rsidP="004B4774">
      <w:pPr>
        <w:pStyle w:val="Source"/>
      </w:pPr>
      <w:r w:rsidRPr="00C174FF">
        <w:t>Source: Cens</w:t>
      </w:r>
      <w:r>
        <w:t xml:space="preserve">us 2001/2011, AECOM </w:t>
      </w:r>
      <w:r w:rsidR="001157B7">
        <w:t>c</w:t>
      </w:r>
      <w:r>
        <w:t>alculations</w:t>
      </w:r>
    </w:p>
    <w:p w:rsidR="004B4774" w:rsidRPr="008D51FF" w:rsidRDefault="004B4774" w:rsidP="004B4774">
      <w:pPr>
        <w:pStyle w:val="Caption"/>
      </w:pPr>
      <w:bookmarkStart w:id="184" w:name="_Ref495661808"/>
      <w:bookmarkStart w:id="185" w:name="_Toc487535557"/>
      <w:bookmarkStart w:id="186" w:name="_Toc488669622"/>
      <w:bookmarkStart w:id="187" w:name="_Toc495920056"/>
      <w:r>
        <w:t xml:space="preserve">Table </w:t>
      </w:r>
      <w:fldSimple w:instr=" SEQ Table \* ARABIC ">
        <w:r w:rsidR="00B25544">
          <w:rPr>
            <w:noProof/>
          </w:rPr>
          <w:t>26</w:t>
        </w:r>
      </w:fldSimple>
      <w:bookmarkEnd w:id="184"/>
      <w:r>
        <w:t xml:space="preserve">: </w:t>
      </w:r>
      <w:r w:rsidRPr="00A544C8">
        <w:t>Country of</w:t>
      </w:r>
      <w:r>
        <w:t xml:space="preserve"> birth and length of residence, 2011</w:t>
      </w:r>
      <w:bookmarkEnd w:id="185"/>
      <w:bookmarkEnd w:id="186"/>
      <w:bookmarkEnd w:id="187"/>
    </w:p>
    <w:tbl>
      <w:tblPr>
        <w:tblStyle w:val="TableGrid"/>
        <w:tblW w:w="9139" w:type="dxa"/>
        <w:tblLook w:val="04A0" w:firstRow="1" w:lastRow="0" w:firstColumn="1" w:lastColumn="0" w:noHBand="0" w:noVBand="1"/>
      </w:tblPr>
      <w:tblGrid>
        <w:gridCol w:w="2761"/>
        <w:gridCol w:w="1382"/>
        <w:gridCol w:w="1532"/>
        <w:gridCol w:w="1734"/>
        <w:gridCol w:w="1730"/>
      </w:tblGrid>
      <w:tr w:rsidR="004B4774" w:rsidRPr="00117252" w:rsidTr="009A5A02">
        <w:trPr>
          <w:cnfStyle w:val="100000000000" w:firstRow="1" w:lastRow="0" w:firstColumn="0" w:lastColumn="0" w:oddVBand="0" w:evenVBand="0" w:oddHBand="0" w:evenHBand="0" w:firstRowFirstColumn="0" w:firstRowLastColumn="0" w:lastRowFirstColumn="0" w:lastRowLastColumn="0"/>
          <w:trHeight w:val="288"/>
        </w:trPr>
        <w:tc>
          <w:tcPr>
            <w:tcW w:w="2761" w:type="dxa"/>
            <w:shd w:val="clear" w:color="auto" w:fill="000000" w:themeFill="text1"/>
            <w:noWrap/>
            <w:hideMark/>
          </w:tcPr>
          <w:p w:rsidR="004B4774" w:rsidRPr="00117252" w:rsidRDefault="004B4774" w:rsidP="009A5A02">
            <w:pPr>
              <w:spacing w:line="240" w:lineRule="auto"/>
              <w:rPr>
                <w:rFonts w:eastAsia="Times New Roman" w:cstheme="majorHAnsi"/>
                <w:b/>
                <w:bCs/>
                <w:color w:val="FFFFFF" w:themeColor="background1"/>
                <w:sz w:val="18"/>
                <w:lang w:eastAsia="en-GB"/>
              </w:rPr>
            </w:pPr>
            <w:r w:rsidRPr="00117252">
              <w:rPr>
                <w:rFonts w:eastAsia="Times New Roman" w:cstheme="majorHAnsi"/>
                <w:b/>
                <w:bCs/>
                <w:color w:val="FFFFFF" w:themeColor="background1"/>
                <w:sz w:val="18"/>
                <w:lang w:eastAsia="en-GB"/>
              </w:rPr>
              <w:t>Place of birth</w:t>
            </w:r>
          </w:p>
        </w:tc>
        <w:tc>
          <w:tcPr>
            <w:tcW w:w="1382" w:type="dxa"/>
            <w:shd w:val="clear" w:color="auto" w:fill="000000" w:themeFill="text1"/>
            <w:noWrap/>
            <w:hideMark/>
          </w:tcPr>
          <w:p w:rsidR="004B4774" w:rsidRPr="00117252" w:rsidRDefault="004B4774" w:rsidP="009A5A02">
            <w:pPr>
              <w:spacing w:line="240" w:lineRule="auto"/>
              <w:rPr>
                <w:rFonts w:eastAsia="Times New Roman" w:cstheme="majorHAnsi"/>
                <w:color w:val="FFFFFF" w:themeColor="background1"/>
                <w:sz w:val="18"/>
                <w:lang w:eastAsia="en-GB"/>
              </w:rPr>
            </w:pPr>
            <w:r w:rsidRPr="00117252">
              <w:rPr>
                <w:rFonts w:eastAsia="Times New Roman" w:cstheme="majorHAnsi"/>
                <w:b/>
                <w:bCs/>
                <w:color w:val="FFFFFF" w:themeColor="background1"/>
                <w:sz w:val="18"/>
                <w:lang w:eastAsia="en-GB"/>
              </w:rPr>
              <w:t>Population breakdown</w:t>
            </w:r>
          </w:p>
        </w:tc>
        <w:tc>
          <w:tcPr>
            <w:tcW w:w="1532" w:type="dxa"/>
            <w:shd w:val="clear" w:color="auto" w:fill="000000" w:themeFill="text1"/>
            <w:noWrap/>
            <w:hideMark/>
          </w:tcPr>
          <w:p w:rsidR="004B4774" w:rsidRPr="00117252" w:rsidRDefault="004B4774" w:rsidP="009A5A02">
            <w:pPr>
              <w:rPr>
                <w:rFonts w:cstheme="majorHAnsi"/>
                <w:b/>
                <w:bCs/>
                <w:color w:val="FFFFFF" w:themeColor="background1"/>
                <w:sz w:val="18"/>
              </w:rPr>
            </w:pPr>
            <w:r>
              <w:rPr>
                <w:rFonts w:cstheme="majorHAnsi"/>
                <w:b/>
                <w:bCs/>
                <w:color w:val="FFFFFF" w:themeColor="background1"/>
                <w:sz w:val="18"/>
              </w:rPr>
              <w:t>West Wittering</w:t>
            </w:r>
          </w:p>
        </w:tc>
        <w:tc>
          <w:tcPr>
            <w:tcW w:w="1734" w:type="dxa"/>
            <w:shd w:val="clear" w:color="auto" w:fill="000000" w:themeFill="text1"/>
            <w:noWrap/>
            <w:hideMark/>
          </w:tcPr>
          <w:p w:rsidR="004B4774" w:rsidRPr="00117252" w:rsidRDefault="004B4774" w:rsidP="009A5A02">
            <w:pPr>
              <w:rPr>
                <w:rFonts w:cstheme="majorHAnsi"/>
                <w:b/>
                <w:bCs/>
                <w:color w:val="FFFFFF" w:themeColor="background1"/>
                <w:sz w:val="18"/>
              </w:rPr>
            </w:pPr>
            <w:r>
              <w:rPr>
                <w:rFonts w:cstheme="majorHAnsi"/>
                <w:b/>
                <w:bCs/>
                <w:color w:val="FFFFFF" w:themeColor="background1"/>
                <w:sz w:val="18"/>
              </w:rPr>
              <w:t>Chichester</w:t>
            </w:r>
          </w:p>
        </w:tc>
        <w:tc>
          <w:tcPr>
            <w:tcW w:w="1730" w:type="dxa"/>
            <w:shd w:val="clear" w:color="auto" w:fill="000000" w:themeFill="text1"/>
            <w:noWrap/>
            <w:hideMark/>
          </w:tcPr>
          <w:p w:rsidR="004B4774" w:rsidRPr="00117252" w:rsidRDefault="004B4774" w:rsidP="009A5A02">
            <w:pPr>
              <w:spacing w:line="240" w:lineRule="auto"/>
              <w:rPr>
                <w:rFonts w:eastAsia="Times New Roman" w:cstheme="majorHAnsi"/>
                <w:color w:val="FFFFFF" w:themeColor="background1"/>
                <w:sz w:val="18"/>
                <w:lang w:eastAsia="en-GB"/>
              </w:rPr>
            </w:pPr>
            <w:r w:rsidRPr="00117252">
              <w:rPr>
                <w:rFonts w:eastAsia="Times New Roman" w:cstheme="majorHAnsi"/>
                <w:b/>
                <w:bCs/>
                <w:color w:val="FFFFFF" w:themeColor="background1"/>
                <w:sz w:val="18"/>
                <w:lang w:eastAsia="en-GB"/>
              </w:rPr>
              <w:t>England</w:t>
            </w:r>
          </w:p>
        </w:tc>
      </w:tr>
      <w:tr w:rsidR="004B4774" w:rsidRPr="00117252" w:rsidTr="009A5A02">
        <w:trPr>
          <w:trHeight w:val="288"/>
        </w:trPr>
        <w:tc>
          <w:tcPr>
            <w:tcW w:w="2761" w:type="dxa"/>
            <w:shd w:val="clear" w:color="auto" w:fill="D9D9D9" w:themeFill="background1" w:themeFillShade="D9"/>
            <w:noWrap/>
            <w:hideMark/>
          </w:tcPr>
          <w:p w:rsidR="004B4774" w:rsidRPr="00117252" w:rsidRDefault="004B4774" w:rsidP="009A5A02">
            <w:pPr>
              <w:spacing w:line="240" w:lineRule="auto"/>
              <w:rPr>
                <w:rFonts w:asciiTheme="majorHAnsi" w:eastAsia="Times New Roman" w:hAnsiTheme="majorHAnsi" w:cstheme="majorHAnsi"/>
                <w:b/>
                <w:bCs/>
                <w:color w:val="000000"/>
                <w:sz w:val="18"/>
                <w:lang w:eastAsia="en-GB"/>
              </w:rPr>
            </w:pPr>
            <w:r w:rsidRPr="00117252">
              <w:rPr>
                <w:rFonts w:asciiTheme="majorHAnsi" w:eastAsia="Times New Roman" w:hAnsiTheme="majorHAnsi" w:cstheme="majorHAnsi"/>
                <w:color w:val="000000"/>
                <w:sz w:val="18"/>
                <w:lang w:eastAsia="en-GB"/>
              </w:rPr>
              <w:t>Born in the UK</w:t>
            </w:r>
          </w:p>
        </w:tc>
        <w:tc>
          <w:tcPr>
            <w:tcW w:w="1382" w:type="dxa"/>
            <w:shd w:val="clear" w:color="auto" w:fill="D9D9D9" w:themeFill="background1" w:themeFillShade="D9"/>
            <w:noWrap/>
            <w:hideMark/>
          </w:tcPr>
          <w:p w:rsidR="004B4774" w:rsidRPr="00117252" w:rsidRDefault="004B4774" w:rsidP="009A5A02">
            <w:pPr>
              <w:spacing w:line="240" w:lineRule="auto"/>
              <w:rPr>
                <w:rFonts w:asciiTheme="majorHAnsi" w:eastAsia="Times New Roman" w:hAnsiTheme="majorHAnsi" w:cstheme="majorHAnsi"/>
                <w:b/>
                <w:bCs/>
                <w:color w:val="000000"/>
                <w:sz w:val="18"/>
                <w:lang w:eastAsia="en-GB"/>
              </w:rPr>
            </w:pPr>
            <w:r w:rsidRPr="00117252">
              <w:rPr>
                <w:rFonts w:asciiTheme="majorHAnsi" w:eastAsia="Times New Roman" w:hAnsiTheme="majorHAnsi" w:cstheme="majorHAnsi"/>
                <w:color w:val="000000"/>
                <w:sz w:val="18"/>
                <w:lang w:eastAsia="en-GB"/>
              </w:rPr>
              <w:t>Total</w:t>
            </w:r>
          </w:p>
        </w:tc>
        <w:tc>
          <w:tcPr>
            <w:tcW w:w="1532" w:type="dxa"/>
            <w:noWrap/>
            <w:vAlign w:val="bottom"/>
            <w:hideMark/>
          </w:tcPr>
          <w:p w:rsidR="004B4774" w:rsidRPr="00D65239" w:rsidRDefault="004B4774" w:rsidP="009A5A02">
            <w:pPr>
              <w:jc w:val="center"/>
              <w:rPr>
                <w:rFonts w:cstheme="minorHAnsi"/>
                <w:color w:val="000000"/>
                <w:sz w:val="18"/>
                <w:highlight w:val="yellow"/>
              </w:rPr>
            </w:pPr>
            <w:r w:rsidRPr="00D65239">
              <w:rPr>
                <w:rFonts w:cstheme="minorHAnsi"/>
                <w:color w:val="000000"/>
                <w:sz w:val="18"/>
              </w:rPr>
              <w:t>93.9%</w:t>
            </w:r>
          </w:p>
        </w:tc>
        <w:tc>
          <w:tcPr>
            <w:tcW w:w="1734" w:type="dxa"/>
            <w:noWrap/>
            <w:vAlign w:val="bottom"/>
            <w:hideMark/>
          </w:tcPr>
          <w:p w:rsidR="004B4774" w:rsidRPr="00D65239" w:rsidRDefault="004B4774" w:rsidP="009A5A02">
            <w:pPr>
              <w:jc w:val="center"/>
              <w:rPr>
                <w:rFonts w:cstheme="minorHAnsi"/>
                <w:color w:val="000000"/>
                <w:sz w:val="18"/>
                <w:highlight w:val="yellow"/>
              </w:rPr>
            </w:pPr>
            <w:r w:rsidRPr="00D65239">
              <w:rPr>
                <w:rFonts w:cstheme="minorHAnsi"/>
                <w:color w:val="000000"/>
                <w:sz w:val="18"/>
              </w:rPr>
              <w:t>91.9%</w:t>
            </w:r>
          </w:p>
        </w:tc>
        <w:tc>
          <w:tcPr>
            <w:tcW w:w="1730" w:type="dxa"/>
            <w:noWrap/>
            <w:vAlign w:val="bottom"/>
            <w:hideMark/>
          </w:tcPr>
          <w:p w:rsidR="004B4774" w:rsidRPr="00D65239" w:rsidRDefault="004B4774" w:rsidP="009A5A02">
            <w:pPr>
              <w:spacing w:line="240" w:lineRule="auto"/>
              <w:jc w:val="center"/>
              <w:rPr>
                <w:rFonts w:eastAsia="Times New Roman" w:cstheme="minorHAnsi"/>
                <w:b/>
                <w:bCs/>
                <w:color w:val="000000"/>
                <w:sz w:val="18"/>
                <w:highlight w:val="yellow"/>
                <w:lang w:eastAsia="en-GB"/>
              </w:rPr>
            </w:pPr>
            <w:r w:rsidRPr="00D65239">
              <w:rPr>
                <w:rFonts w:cstheme="minorHAnsi"/>
                <w:color w:val="000000"/>
                <w:sz w:val="18"/>
              </w:rPr>
              <w:t>86.2%</w:t>
            </w:r>
          </w:p>
        </w:tc>
      </w:tr>
      <w:tr w:rsidR="004B4774" w:rsidRPr="00117252" w:rsidTr="009A5A02">
        <w:trPr>
          <w:trHeight w:val="288"/>
        </w:trPr>
        <w:tc>
          <w:tcPr>
            <w:tcW w:w="2761" w:type="dxa"/>
            <w:shd w:val="clear" w:color="auto" w:fill="D9D9D9" w:themeFill="background1" w:themeFillShade="D9"/>
            <w:noWrap/>
            <w:hideMark/>
          </w:tcPr>
          <w:p w:rsidR="004B4774" w:rsidRPr="00117252" w:rsidRDefault="004B4774" w:rsidP="009A5A02">
            <w:pPr>
              <w:spacing w:line="240" w:lineRule="auto"/>
              <w:rPr>
                <w:rFonts w:asciiTheme="majorHAnsi" w:eastAsia="Times New Roman" w:hAnsiTheme="majorHAnsi" w:cstheme="majorHAnsi"/>
                <w:color w:val="000000"/>
                <w:sz w:val="18"/>
                <w:lang w:eastAsia="en-GB"/>
              </w:rPr>
            </w:pPr>
            <w:r w:rsidRPr="00117252">
              <w:rPr>
                <w:rFonts w:asciiTheme="majorHAnsi" w:eastAsia="Times New Roman" w:hAnsiTheme="majorHAnsi" w:cstheme="majorHAnsi"/>
                <w:color w:val="000000"/>
                <w:sz w:val="18"/>
                <w:lang w:eastAsia="en-GB"/>
              </w:rPr>
              <w:t>Born outside the UK</w:t>
            </w:r>
          </w:p>
        </w:tc>
        <w:tc>
          <w:tcPr>
            <w:tcW w:w="1382" w:type="dxa"/>
            <w:shd w:val="clear" w:color="auto" w:fill="D9D9D9" w:themeFill="background1" w:themeFillShade="D9"/>
            <w:noWrap/>
            <w:hideMark/>
          </w:tcPr>
          <w:p w:rsidR="004B4774" w:rsidRPr="00117252" w:rsidRDefault="004B4774" w:rsidP="009A5A02">
            <w:pPr>
              <w:spacing w:line="240" w:lineRule="auto"/>
              <w:rPr>
                <w:rFonts w:asciiTheme="majorHAnsi" w:eastAsia="Times New Roman" w:hAnsiTheme="majorHAnsi" w:cstheme="majorHAnsi"/>
                <w:color w:val="000000"/>
                <w:sz w:val="18"/>
                <w:lang w:eastAsia="en-GB"/>
              </w:rPr>
            </w:pPr>
            <w:r w:rsidRPr="00117252">
              <w:rPr>
                <w:rFonts w:asciiTheme="majorHAnsi" w:eastAsia="Times New Roman" w:hAnsiTheme="majorHAnsi" w:cstheme="majorHAnsi"/>
                <w:color w:val="000000"/>
                <w:sz w:val="18"/>
                <w:lang w:eastAsia="en-GB"/>
              </w:rPr>
              <w:t>Total</w:t>
            </w:r>
          </w:p>
        </w:tc>
        <w:tc>
          <w:tcPr>
            <w:tcW w:w="1532" w:type="dxa"/>
            <w:noWrap/>
            <w:vAlign w:val="bottom"/>
            <w:hideMark/>
          </w:tcPr>
          <w:p w:rsidR="004B4774" w:rsidRPr="00D65239" w:rsidRDefault="004B4774" w:rsidP="009A5A02">
            <w:pPr>
              <w:jc w:val="center"/>
              <w:rPr>
                <w:rFonts w:cstheme="minorHAnsi"/>
                <w:color w:val="000000"/>
                <w:sz w:val="18"/>
                <w:highlight w:val="yellow"/>
              </w:rPr>
            </w:pPr>
            <w:r w:rsidRPr="00D65239">
              <w:rPr>
                <w:rFonts w:cstheme="minorHAnsi"/>
                <w:color w:val="000000"/>
                <w:sz w:val="18"/>
              </w:rPr>
              <w:t>6.1%</w:t>
            </w:r>
          </w:p>
        </w:tc>
        <w:tc>
          <w:tcPr>
            <w:tcW w:w="1734" w:type="dxa"/>
            <w:noWrap/>
            <w:vAlign w:val="bottom"/>
            <w:hideMark/>
          </w:tcPr>
          <w:p w:rsidR="004B4774" w:rsidRPr="00D65239" w:rsidRDefault="004B4774" w:rsidP="009A5A02">
            <w:pPr>
              <w:jc w:val="center"/>
              <w:rPr>
                <w:rFonts w:cstheme="minorHAnsi"/>
                <w:color w:val="000000"/>
                <w:sz w:val="18"/>
                <w:highlight w:val="yellow"/>
              </w:rPr>
            </w:pPr>
            <w:r w:rsidRPr="00D65239">
              <w:rPr>
                <w:rFonts w:cstheme="minorHAnsi"/>
                <w:color w:val="000000"/>
                <w:sz w:val="18"/>
              </w:rPr>
              <w:t>8.1%</w:t>
            </w:r>
          </w:p>
        </w:tc>
        <w:tc>
          <w:tcPr>
            <w:tcW w:w="1730" w:type="dxa"/>
            <w:noWrap/>
            <w:vAlign w:val="bottom"/>
            <w:hideMark/>
          </w:tcPr>
          <w:p w:rsidR="004B4774" w:rsidRPr="00D65239" w:rsidRDefault="004B4774" w:rsidP="009A5A02">
            <w:pPr>
              <w:spacing w:line="240" w:lineRule="auto"/>
              <w:jc w:val="center"/>
              <w:rPr>
                <w:rFonts w:eastAsia="Times New Roman" w:cstheme="minorHAnsi"/>
                <w:color w:val="000000"/>
                <w:sz w:val="18"/>
                <w:highlight w:val="yellow"/>
                <w:lang w:eastAsia="en-GB"/>
              </w:rPr>
            </w:pPr>
            <w:r w:rsidRPr="00D65239">
              <w:rPr>
                <w:rFonts w:cstheme="minorHAnsi"/>
                <w:color w:val="000000"/>
                <w:sz w:val="18"/>
              </w:rPr>
              <w:t>13.8%</w:t>
            </w:r>
          </w:p>
        </w:tc>
      </w:tr>
      <w:tr w:rsidR="004B4774" w:rsidRPr="00117252" w:rsidTr="009A5A02">
        <w:trPr>
          <w:trHeight w:val="288"/>
        </w:trPr>
        <w:tc>
          <w:tcPr>
            <w:tcW w:w="2761" w:type="dxa"/>
            <w:shd w:val="clear" w:color="auto" w:fill="D9D9D9" w:themeFill="background1" w:themeFillShade="D9"/>
            <w:noWrap/>
            <w:hideMark/>
          </w:tcPr>
          <w:p w:rsidR="004B4774" w:rsidRPr="00117252" w:rsidRDefault="004B4774" w:rsidP="009A5A02">
            <w:pPr>
              <w:spacing w:line="240" w:lineRule="auto"/>
              <w:rPr>
                <w:rFonts w:asciiTheme="majorHAnsi" w:eastAsia="Times New Roman" w:hAnsiTheme="majorHAnsi" w:cstheme="majorHAnsi"/>
                <w:color w:val="000000"/>
                <w:sz w:val="18"/>
                <w:lang w:eastAsia="en-GB"/>
              </w:rPr>
            </w:pPr>
            <w:r w:rsidRPr="00117252">
              <w:rPr>
                <w:rFonts w:asciiTheme="majorHAnsi" w:eastAsia="Times New Roman" w:hAnsiTheme="majorHAnsi" w:cstheme="majorHAnsi"/>
                <w:color w:val="000000"/>
                <w:sz w:val="18"/>
                <w:lang w:eastAsia="en-GB"/>
              </w:rPr>
              <w:t> </w:t>
            </w:r>
          </w:p>
        </w:tc>
        <w:tc>
          <w:tcPr>
            <w:tcW w:w="1382" w:type="dxa"/>
            <w:shd w:val="clear" w:color="auto" w:fill="D9D9D9" w:themeFill="background1" w:themeFillShade="D9"/>
            <w:noWrap/>
            <w:hideMark/>
          </w:tcPr>
          <w:p w:rsidR="004B4774" w:rsidRPr="00117252" w:rsidRDefault="004B4774" w:rsidP="009A5A02">
            <w:pPr>
              <w:spacing w:line="240" w:lineRule="auto"/>
              <w:rPr>
                <w:rFonts w:asciiTheme="majorHAnsi" w:eastAsia="Times New Roman" w:hAnsiTheme="majorHAnsi" w:cstheme="majorHAnsi"/>
                <w:color w:val="000000"/>
                <w:sz w:val="18"/>
                <w:lang w:eastAsia="en-GB"/>
              </w:rPr>
            </w:pPr>
            <w:r w:rsidRPr="00117252">
              <w:rPr>
                <w:rFonts w:asciiTheme="majorHAnsi" w:eastAsia="Times New Roman" w:hAnsiTheme="majorHAnsi" w:cstheme="majorHAnsi"/>
                <w:color w:val="000000"/>
                <w:sz w:val="18"/>
                <w:lang w:eastAsia="en-GB"/>
              </w:rPr>
              <w:t>EU</w:t>
            </w:r>
          </w:p>
        </w:tc>
        <w:tc>
          <w:tcPr>
            <w:tcW w:w="1532" w:type="dxa"/>
            <w:noWrap/>
            <w:vAlign w:val="bottom"/>
            <w:hideMark/>
          </w:tcPr>
          <w:p w:rsidR="004B4774" w:rsidRPr="00D65239" w:rsidRDefault="004B4774" w:rsidP="009A5A02">
            <w:pPr>
              <w:jc w:val="center"/>
              <w:rPr>
                <w:rFonts w:cstheme="minorHAnsi"/>
                <w:color w:val="000000"/>
                <w:sz w:val="18"/>
                <w:highlight w:val="yellow"/>
              </w:rPr>
            </w:pPr>
            <w:r w:rsidRPr="00D65239">
              <w:rPr>
                <w:rFonts w:cstheme="minorHAnsi"/>
                <w:color w:val="000000"/>
                <w:sz w:val="18"/>
              </w:rPr>
              <w:t>2.7%</w:t>
            </w:r>
          </w:p>
        </w:tc>
        <w:tc>
          <w:tcPr>
            <w:tcW w:w="1734" w:type="dxa"/>
            <w:noWrap/>
            <w:vAlign w:val="bottom"/>
            <w:hideMark/>
          </w:tcPr>
          <w:p w:rsidR="004B4774" w:rsidRPr="00D65239" w:rsidRDefault="004B4774" w:rsidP="009A5A02">
            <w:pPr>
              <w:jc w:val="center"/>
              <w:rPr>
                <w:rFonts w:cstheme="minorHAnsi"/>
                <w:color w:val="000000"/>
                <w:sz w:val="18"/>
                <w:highlight w:val="yellow"/>
              </w:rPr>
            </w:pPr>
            <w:r w:rsidRPr="00D65239">
              <w:rPr>
                <w:rFonts w:cstheme="minorHAnsi"/>
                <w:color w:val="000000"/>
                <w:sz w:val="18"/>
              </w:rPr>
              <w:t>3.4%</w:t>
            </w:r>
          </w:p>
        </w:tc>
        <w:tc>
          <w:tcPr>
            <w:tcW w:w="1730" w:type="dxa"/>
            <w:noWrap/>
            <w:vAlign w:val="bottom"/>
            <w:hideMark/>
          </w:tcPr>
          <w:p w:rsidR="004B4774" w:rsidRPr="00D65239" w:rsidRDefault="004B4774" w:rsidP="009A5A02">
            <w:pPr>
              <w:spacing w:line="240" w:lineRule="auto"/>
              <w:jc w:val="center"/>
              <w:rPr>
                <w:rFonts w:eastAsia="Times New Roman" w:cstheme="minorHAnsi"/>
                <w:color w:val="000000"/>
                <w:sz w:val="18"/>
                <w:highlight w:val="yellow"/>
                <w:lang w:eastAsia="en-GB"/>
              </w:rPr>
            </w:pPr>
            <w:r w:rsidRPr="00D65239">
              <w:rPr>
                <w:rFonts w:cstheme="minorHAnsi"/>
                <w:color w:val="000000"/>
                <w:sz w:val="18"/>
              </w:rPr>
              <w:t>3.7%</w:t>
            </w:r>
          </w:p>
        </w:tc>
      </w:tr>
      <w:tr w:rsidR="004B4774" w:rsidRPr="00117252" w:rsidTr="009A5A02">
        <w:trPr>
          <w:trHeight w:val="288"/>
        </w:trPr>
        <w:tc>
          <w:tcPr>
            <w:tcW w:w="2761" w:type="dxa"/>
            <w:shd w:val="clear" w:color="auto" w:fill="D9D9D9" w:themeFill="background1" w:themeFillShade="D9"/>
            <w:noWrap/>
            <w:hideMark/>
          </w:tcPr>
          <w:p w:rsidR="004B4774" w:rsidRPr="00117252" w:rsidRDefault="004B4774" w:rsidP="009A5A02">
            <w:pPr>
              <w:spacing w:line="240" w:lineRule="auto"/>
              <w:rPr>
                <w:rFonts w:asciiTheme="majorHAnsi" w:eastAsia="Times New Roman" w:hAnsiTheme="majorHAnsi" w:cstheme="majorHAnsi"/>
                <w:color w:val="000000"/>
                <w:sz w:val="18"/>
                <w:lang w:eastAsia="en-GB"/>
              </w:rPr>
            </w:pPr>
            <w:r w:rsidRPr="00117252">
              <w:rPr>
                <w:rFonts w:asciiTheme="majorHAnsi" w:eastAsia="Times New Roman" w:hAnsiTheme="majorHAnsi" w:cstheme="majorHAnsi"/>
                <w:color w:val="000000"/>
                <w:sz w:val="18"/>
                <w:lang w:eastAsia="en-GB"/>
              </w:rPr>
              <w:t> </w:t>
            </w:r>
          </w:p>
        </w:tc>
        <w:tc>
          <w:tcPr>
            <w:tcW w:w="1382" w:type="dxa"/>
            <w:shd w:val="clear" w:color="auto" w:fill="D9D9D9" w:themeFill="background1" w:themeFillShade="D9"/>
            <w:noWrap/>
            <w:hideMark/>
          </w:tcPr>
          <w:p w:rsidR="004B4774" w:rsidRPr="00117252" w:rsidRDefault="004B4774" w:rsidP="009A5A02">
            <w:pPr>
              <w:spacing w:line="240" w:lineRule="auto"/>
              <w:rPr>
                <w:rFonts w:asciiTheme="majorHAnsi" w:eastAsia="Times New Roman" w:hAnsiTheme="majorHAnsi" w:cstheme="majorHAnsi"/>
                <w:color w:val="000000"/>
                <w:sz w:val="18"/>
                <w:lang w:eastAsia="en-GB"/>
              </w:rPr>
            </w:pPr>
            <w:r w:rsidRPr="00117252">
              <w:rPr>
                <w:rFonts w:asciiTheme="majorHAnsi" w:eastAsia="Times New Roman" w:hAnsiTheme="majorHAnsi" w:cstheme="majorHAnsi"/>
                <w:color w:val="000000"/>
                <w:sz w:val="18"/>
                <w:lang w:eastAsia="en-GB"/>
              </w:rPr>
              <w:t>Other</w:t>
            </w:r>
          </w:p>
        </w:tc>
        <w:tc>
          <w:tcPr>
            <w:tcW w:w="1532" w:type="dxa"/>
            <w:noWrap/>
            <w:vAlign w:val="bottom"/>
            <w:hideMark/>
          </w:tcPr>
          <w:p w:rsidR="004B4774" w:rsidRPr="00D65239" w:rsidRDefault="004B4774" w:rsidP="009A5A02">
            <w:pPr>
              <w:jc w:val="center"/>
              <w:rPr>
                <w:rFonts w:cstheme="minorHAnsi"/>
                <w:color w:val="000000"/>
                <w:sz w:val="18"/>
                <w:highlight w:val="yellow"/>
              </w:rPr>
            </w:pPr>
            <w:r w:rsidRPr="00D65239">
              <w:rPr>
                <w:rFonts w:cstheme="minorHAnsi"/>
                <w:color w:val="000000"/>
                <w:sz w:val="18"/>
              </w:rPr>
              <w:t>3.4%</w:t>
            </w:r>
          </w:p>
        </w:tc>
        <w:tc>
          <w:tcPr>
            <w:tcW w:w="1734" w:type="dxa"/>
            <w:noWrap/>
            <w:vAlign w:val="bottom"/>
            <w:hideMark/>
          </w:tcPr>
          <w:p w:rsidR="004B4774" w:rsidRPr="00D65239" w:rsidRDefault="004B4774" w:rsidP="009A5A02">
            <w:pPr>
              <w:jc w:val="center"/>
              <w:rPr>
                <w:rFonts w:cstheme="minorHAnsi"/>
                <w:color w:val="000000"/>
                <w:sz w:val="18"/>
                <w:highlight w:val="yellow"/>
              </w:rPr>
            </w:pPr>
            <w:r w:rsidRPr="00D65239">
              <w:rPr>
                <w:rFonts w:cstheme="minorHAnsi"/>
                <w:color w:val="000000"/>
                <w:sz w:val="18"/>
              </w:rPr>
              <w:t>4.7%</w:t>
            </w:r>
          </w:p>
        </w:tc>
        <w:tc>
          <w:tcPr>
            <w:tcW w:w="1730" w:type="dxa"/>
            <w:noWrap/>
            <w:vAlign w:val="bottom"/>
            <w:hideMark/>
          </w:tcPr>
          <w:p w:rsidR="004B4774" w:rsidRPr="00D65239" w:rsidRDefault="004B4774" w:rsidP="009A5A02">
            <w:pPr>
              <w:spacing w:line="240" w:lineRule="auto"/>
              <w:jc w:val="center"/>
              <w:rPr>
                <w:rFonts w:eastAsia="Times New Roman" w:cstheme="minorHAnsi"/>
                <w:color w:val="000000"/>
                <w:sz w:val="18"/>
                <w:highlight w:val="yellow"/>
                <w:lang w:eastAsia="en-GB"/>
              </w:rPr>
            </w:pPr>
            <w:r w:rsidRPr="00D65239">
              <w:rPr>
                <w:rFonts w:cstheme="minorHAnsi"/>
                <w:color w:val="000000"/>
                <w:sz w:val="18"/>
              </w:rPr>
              <w:t>9.4%</w:t>
            </w:r>
          </w:p>
        </w:tc>
      </w:tr>
    </w:tbl>
    <w:p w:rsidR="004B4774" w:rsidRDefault="004B4774" w:rsidP="004B4774">
      <w:pPr>
        <w:pStyle w:val="Source"/>
      </w:pPr>
      <w:r w:rsidRPr="00C174FF">
        <w:t xml:space="preserve">Source: Census 2001/2011, AECOM </w:t>
      </w:r>
      <w:r w:rsidR="001157B7">
        <w:t>c</w:t>
      </w:r>
      <w:r w:rsidRPr="00C174FF">
        <w:t>alculations</w:t>
      </w:r>
    </w:p>
    <w:p w:rsidR="004B4774" w:rsidRDefault="004B4774" w:rsidP="004B4774">
      <w:pPr>
        <w:pStyle w:val="Caption"/>
      </w:pPr>
      <w:bookmarkStart w:id="188" w:name="_Toc488669623"/>
      <w:bookmarkStart w:id="189" w:name="_Toc495920057"/>
      <w:r>
        <w:t xml:space="preserve">Table </w:t>
      </w:r>
      <w:fldSimple w:instr=" SEQ Table \* ARABIC ">
        <w:r w:rsidR="00B25544">
          <w:rPr>
            <w:noProof/>
          </w:rPr>
          <w:t>27</w:t>
        </w:r>
      </w:fldSimple>
      <w:r>
        <w:t xml:space="preserve">: </w:t>
      </w:r>
      <w:r w:rsidRPr="00DE13EE">
        <w:t xml:space="preserve">Length of residence of those born outside of the </w:t>
      </w:r>
      <w:bookmarkEnd w:id="188"/>
      <w:bookmarkEnd w:id="189"/>
      <w:r w:rsidR="001157B7">
        <w:t>UK</w:t>
      </w:r>
    </w:p>
    <w:tbl>
      <w:tblPr>
        <w:tblStyle w:val="TableGrid"/>
        <w:tblW w:w="9120" w:type="dxa"/>
        <w:tblLook w:val="04A0" w:firstRow="1" w:lastRow="0" w:firstColumn="1" w:lastColumn="0" w:noHBand="0" w:noVBand="1"/>
      </w:tblPr>
      <w:tblGrid>
        <w:gridCol w:w="3176"/>
        <w:gridCol w:w="2786"/>
        <w:gridCol w:w="3158"/>
      </w:tblGrid>
      <w:tr w:rsidR="004B4774" w:rsidRPr="00117252" w:rsidTr="009A5A02">
        <w:trPr>
          <w:cnfStyle w:val="100000000000" w:firstRow="1" w:lastRow="0" w:firstColumn="0" w:lastColumn="0" w:oddVBand="0" w:evenVBand="0" w:oddHBand="0" w:evenHBand="0" w:firstRowFirstColumn="0" w:firstRowLastColumn="0" w:lastRowFirstColumn="0" w:lastRowLastColumn="0"/>
          <w:trHeight w:val="134"/>
        </w:trPr>
        <w:tc>
          <w:tcPr>
            <w:tcW w:w="3176" w:type="dxa"/>
            <w:shd w:val="clear" w:color="auto" w:fill="000000" w:themeFill="text1"/>
            <w:noWrap/>
          </w:tcPr>
          <w:p w:rsidR="004B4774" w:rsidRPr="00117252" w:rsidRDefault="004B4774" w:rsidP="009A5A02">
            <w:pPr>
              <w:spacing w:line="240" w:lineRule="auto"/>
              <w:rPr>
                <w:rFonts w:eastAsia="Times New Roman" w:cstheme="majorHAnsi"/>
                <w:b/>
                <w:bCs/>
                <w:color w:val="FFFFFF" w:themeColor="background1"/>
                <w:sz w:val="18"/>
                <w:lang w:eastAsia="en-GB"/>
              </w:rPr>
            </w:pPr>
            <w:r w:rsidRPr="00117252">
              <w:rPr>
                <w:rFonts w:eastAsia="Times New Roman" w:cstheme="majorHAnsi"/>
                <w:b/>
                <w:bCs/>
                <w:color w:val="FFFFFF" w:themeColor="background1"/>
                <w:sz w:val="18"/>
                <w:lang w:eastAsia="en-GB"/>
              </w:rPr>
              <w:t>Length of residence in the UK</w:t>
            </w:r>
          </w:p>
        </w:tc>
        <w:tc>
          <w:tcPr>
            <w:tcW w:w="2786" w:type="dxa"/>
            <w:shd w:val="clear" w:color="auto" w:fill="000000" w:themeFill="text1"/>
            <w:noWrap/>
          </w:tcPr>
          <w:p w:rsidR="004B4774" w:rsidRPr="00117252" w:rsidRDefault="004B4774" w:rsidP="009A5A02">
            <w:pPr>
              <w:rPr>
                <w:rFonts w:cstheme="majorHAnsi"/>
                <w:b/>
                <w:bCs/>
                <w:color w:val="FFFFFF" w:themeColor="background1"/>
                <w:sz w:val="18"/>
              </w:rPr>
            </w:pPr>
            <w:r>
              <w:rPr>
                <w:rFonts w:cstheme="majorHAnsi"/>
                <w:b/>
                <w:bCs/>
                <w:color w:val="FFFFFF" w:themeColor="background1"/>
                <w:sz w:val="18"/>
              </w:rPr>
              <w:t>West Wittering</w:t>
            </w:r>
          </w:p>
        </w:tc>
        <w:tc>
          <w:tcPr>
            <w:tcW w:w="3158" w:type="dxa"/>
            <w:shd w:val="clear" w:color="auto" w:fill="000000" w:themeFill="text1"/>
            <w:noWrap/>
          </w:tcPr>
          <w:p w:rsidR="004B4774" w:rsidRPr="00117252" w:rsidRDefault="004B4774" w:rsidP="009A5A02">
            <w:pPr>
              <w:rPr>
                <w:rFonts w:cstheme="majorHAnsi"/>
                <w:b/>
                <w:bCs/>
                <w:color w:val="FFFFFF" w:themeColor="background1"/>
                <w:sz w:val="18"/>
              </w:rPr>
            </w:pPr>
            <w:r>
              <w:rPr>
                <w:rFonts w:cstheme="majorHAnsi"/>
                <w:b/>
                <w:bCs/>
                <w:color w:val="FFFFFF" w:themeColor="background1"/>
                <w:sz w:val="18"/>
              </w:rPr>
              <w:t>Chichester</w:t>
            </w:r>
          </w:p>
        </w:tc>
      </w:tr>
      <w:tr w:rsidR="004B4774" w:rsidRPr="00117252" w:rsidTr="00B25544">
        <w:trPr>
          <w:trHeight w:val="134"/>
        </w:trPr>
        <w:tc>
          <w:tcPr>
            <w:tcW w:w="3176" w:type="dxa"/>
            <w:shd w:val="clear" w:color="auto" w:fill="D9D9D9" w:themeFill="background1" w:themeFillShade="D9"/>
            <w:noWrap/>
            <w:vAlign w:val="bottom"/>
          </w:tcPr>
          <w:p w:rsidR="004B4774" w:rsidRPr="00117252" w:rsidRDefault="004B4774" w:rsidP="009A5A02">
            <w:pPr>
              <w:rPr>
                <w:rFonts w:asciiTheme="majorHAnsi" w:hAnsiTheme="majorHAnsi" w:cstheme="majorHAnsi"/>
                <w:color w:val="000000"/>
                <w:sz w:val="18"/>
              </w:rPr>
            </w:pPr>
            <w:r w:rsidRPr="00117252">
              <w:rPr>
                <w:rFonts w:asciiTheme="majorHAnsi" w:hAnsiTheme="majorHAnsi" w:cstheme="majorHAnsi"/>
                <w:color w:val="000000"/>
                <w:sz w:val="18"/>
              </w:rPr>
              <w:t>Less than 2 years</w:t>
            </w:r>
          </w:p>
        </w:tc>
        <w:tc>
          <w:tcPr>
            <w:tcW w:w="2786" w:type="dxa"/>
            <w:noWrap/>
            <w:vAlign w:val="bottom"/>
          </w:tcPr>
          <w:p w:rsidR="004B4774" w:rsidRPr="00290E0C" w:rsidRDefault="004B4774" w:rsidP="009A5A02">
            <w:pPr>
              <w:jc w:val="center"/>
              <w:rPr>
                <w:rFonts w:cstheme="minorHAnsi"/>
                <w:color w:val="000000"/>
                <w:sz w:val="18"/>
                <w:highlight w:val="yellow"/>
              </w:rPr>
            </w:pPr>
            <w:r>
              <w:rPr>
                <w:rFonts w:ascii="Arial" w:hAnsi="Arial" w:cs="Arial"/>
                <w:color w:val="000000"/>
                <w:sz w:val="18"/>
              </w:rPr>
              <w:t>8%</w:t>
            </w:r>
          </w:p>
        </w:tc>
        <w:tc>
          <w:tcPr>
            <w:tcW w:w="3158" w:type="dxa"/>
            <w:noWrap/>
            <w:vAlign w:val="bottom"/>
          </w:tcPr>
          <w:p w:rsidR="004B4774" w:rsidRPr="00290E0C" w:rsidRDefault="004B4774" w:rsidP="009A5A02">
            <w:pPr>
              <w:jc w:val="center"/>
              <w:rPr>
                <w:rFonts w:cstheme="minorHAnsi"/>
                <w:color w:val="000000"/>
                <w:sz w:val="18"/>
                <w:highlight w:val="yellow"/>
              </w:rPr>
            </w:pPr>
            <w:r>
              <w:rPr>
                <w:rFonts w:ascii="Arial" w:hAnsi="Arial" w:cs="Arial"/>
                <w:color w:val="000000"/>
                <w:sz w:val="18"/>
              </w:rPr>
              <w:t>11%</w:t>
            </w:r>
          </w:p>
        </w:tc>
      </w:tr>
      <w:tr w:rsidR="004B4774" w:rsidRPr="00117252" w:rsidTr="00B25544">
        <w:trPr>
          <w:trHeight w:val="148"/>
        </w:trPr>
        <w:tc>
          <w:tcPr>
            <w:tcW w:w="3176" w:type="dxa"/>
            <w:shd w:val="clear" w:color="auto" w:fill="D9D9D9" w:themeFill="background1" w:themeFillShade="D9"/>
            <w:noWrap/>
            <w:vAlign w:val="bottom"/>
          </w:tcPr>
          <w:p w:rsidR="004B4774" w:rsidRPr="00117252" w:rsidRDefault="004B4774" w:rsidP="009A5A02">
            <w:pPr>
              <w:rPr>
                <w:rFonts w:asciiTheme="majorHAnsi" w:hAnsiTheme="majorHAnsi" w:cstheme="majorHAnsi"/>
                <w:color w:val="000000"/>
                <w:sz w:val="18"/>
              </w:rPr>
            </w:pPr>
            <w:r w:rsidRPr="00117252">
              <w:rPr>
                <w:rFonts w:asciiTheme="majorHAnsi" w:hAnsiTheme="majorHAnsi" w:cstheme="majorHAnsi"/>
                <w:color w:val="000000"/>
                <w:sz w:val="18"/>
              </w:rPr>
              <w:t>2-5 years</w:t>
            </w:r>
          </w:p>
        </w:tc>
        <w:tc>
          <w:tcPr>
            <w:tcW w:w="2786" w:type="dxa"/>
            <w:noWrap/>
            <w:vAlign w:val="bottom"/>
          </w:tcPr>
          <w:p w:rsidR="004B4774" w:rsidRPr="00290E0C" w:rsidRDefault="004B4774" w:rsidP="009A5A02">
            <w:pPr>
              <w:jc w:val="center"/>
              <w:rPr>
                <w:rFonts w:cstheme="minorHAnsi"/>
                <w:color w:val="000000"/>
                <w:sz w:val="18"/>
                <w:highlight w:val="yellow"/>
              </w:rPr>
            </w:pPr>
            <w:r>
              <w:rPr>
                <w:rFonts w:ascii="Arial" w:hAnsi="Arial" w:cs="Arial"/>
                <w:color w:val="000000"/>
                <w:sz w:val="18"/>
              </w:rPr>
              <w:t>10%</w:t>
            </w:r>
          </w:p>
        </w:tc>
        <w:tc>
          <w:tcPr>
            <w:tcW w:w="3158" w:type="dxa"/>
            <w:noWrap/>
            <w:vAlign w:val="bottom"/>
          </w:tcPr>
          <w:p w:rsidR="004B4774" w:rsidRPr="00290E0C" w:rsidRDefault="004B4774" w:rsidP="009A5A02">
            <w:pPr>
              <w:jc w:val="center"/>
              <w:rPr>
                <w:rFonts w:cstheme="minorHAnsi"/>
                <w:color w:val="000000"/>
                <w:sz w:val="18"/>
                <w:highlight w:val="yellow"/>
              </w:rPr>
            </w:pPr>
            <w:r>
              <w:rPr>
                <w:rFonts w:ascii="Arial" w:hAnsi="Arial" w:cs="Arial"/>
                <w:color w:val="000000"/>
                <w:sz w:val="18"/>
              </w:rPr>
              <w:t>13%</w:t>
            </w:r>
          </w:p>
        </w:tc>
      </w:tr>
      <w:tr w:rsidR="004B4774" w:rsidRPr="00117252" w:rsidTr="00B25544">
        <w:trPr>
          <w:trHeight w:val="289"/>
        </w:trPr>
        <w:tc>
          <w:tcPr>
            <w:tcW w:w="3176" w:type="dxa"/>
            <w:shd w:val="clear" w:color="auto" w:fill="D9D9D9" w:themeFill="background1" w:themeFillShade="D9"/>
            <w:noWrap/>
            <w:vAlign w:val="bottom"/>
          </w:tcPr>
          <w:p w:rsidR="004B4774" w:rsidRPr="00117252" w:rsidRDefault="004B4774" w:rsidP="009A5A02">
            <w:pPr>
              <w:rPr>
                <w:rFonts w:asciiTheme="majorHAnsi" w:hAnsiTheme="majorHAnsi" w:cstheme="majorHAnsi"/>
                <w:color w:val="000000"/>
                <w:sz w:val="18"/>
              </w:rPr>
            </w:pPr>
            <w:r w:rsidRPr="00117252">
              <w:rPr>
                <w:rFonts w:asciiTheme="majorHAnsi" w:hAnsiTheme="majorHAnsi" w:cstheme="majorHAnsi"/>
                <w:color w:val="000000"/>
                <w:sz w:val="18"/>
              </w:rPr>
              <w:t>5-10 years</w:t>
            </w:r>
          </w:p>
        </w:tc>
        <w:tc>
          <w:tcPr>
            <w:tcW w:w="2786" w:type="dxa"/>
            <w:noWrap/>
            <w:vAlign w:val="bottom"/>
          </w:tcPr>
          <w:p w:rsidR="004B4774" w:rsidRPr="00290E0C" w:rsidRDefault="004B4774" w:rsidP="009A5A02">
            <w:pPr>
              <w:jc w:val="center"/>
              <w:rPr>
                <w:rFonts w:cstheme="minorHAnsi"/>
                <w:color w:val="000000"/>
                <w:sz w:val="18"/>
                <w:highlight w:val="yellow"/>
              </w:rPr>
            </w:pPr>
            <w:r>
              <w:rPr>
                <w:rFonts w:ascii="Arial" w:hAnsi="Arial" w:cs="Arial"/>
                <w:color w:val="000000"/>
                <w:sz w:val="18"/>
              </w:rPr>
              <w:t>4%</w:t>
            </w:r>
          </w:p>
        </w:tc>
        <w:tc>
          <w:tcPr>
            <w:tcW w:w="3158" w:type="dxa"/>
            <w:noWrap/>
            <w:vAlign w:val="bottom"/>
          </w:tcPr>
          <w:p w:rsidR="004B4774" w:rsidRPr="00290E0C" w:rsidRDefault="004B4774" w:rsidP="009A5A02">
            <w:pPr>
              <w:jc w:val="center"/>
              <w:rPr>
                <w:rFonts w:cstheme="minorHAnsi"/>
                <w:color w:val="000000"/>
                <w:sz w:val="18"/>
                <w:highlight w:val="yellow"/>
              </w:rPr>
            </w:pPr>
            <w:r>
              <w:rPr>
                <w:rFonts w:ascii="Arial" w:hAnsi="Arial" w:cs="Arial"/>
                <w:color w:val="000000"/>
                <w:sz w:val="18"/>
              </w:rPr>
              <w:t>18%</w:t>
            </w:r>
          </w:p>
        </w:tc>
      </w:tr>
      <w:tr w:rsidR="004B4774" w:rsidRPr="00117252" w:rsidTr="00B25544">
        <w:trPr>
          <w:trHeight w:val="307"/>
        </w:trPr>
        <w:tc>
          <w:tcPr>
            <w:tcW w:w="3176" w:type="dxa"/>
            <w:shd w:val="clear" w:color="auto" w:fill="D9D9D9" w:themeFill="background1" w:themeFillShade="D9"/>
            <w:noWrap/>
            <w:vAlign w:val="bottom"/>
          </w:tcPr>
          <w:p w:rsidR="004B4774" w:rsidRPr="00117252" w:rsidRDefault="004B4774" w:rsidP="009A5A02">
            <w:pPr>
              <w:rPr>
                <w:rFonts w:asciiTheme="majorHAnsi" w:hAnsiTheme="majorHAnsi" w:cstheme="majorHAnsi"/>
                <w:color w:val="000000"/>
                <w:sz w:val="18"/>
              </w:rPr>
            </w:pPr>
            <w:r w:rsidRPr="00117252">
              <w:rPr>
                <w:rFonts w:asciiTheme="majorHAnsi" w:hAnsiTheme="majorHAnsi" w:cstheme="majorHAnsi"/>
                <w:color w:val="000000"/>
                <w:sz w:val="18"/>
              </w:rPr>
              <w:t>10 years or more</w:t>
            </w:r>
          </w:p>
        </w:tc>
        <w:tc>
          <w:tcPr>
            <w:tcW w:w="2786" w:type="dxa"/>
            <w:noWrap/>
            <w:vAlign w:val="bottom"/>
          </w:tcPr>
          <w:p w:rsidR="004B4774" w:rsidRPr="00290E0C" w:rsidRDefault="004B4774" w:rsidP="009A5A02">
            <w:pPr>
              <w:jc w:val="center"/>
              <w:rPr>
                <w:rFonts w:cstheme="minorHAnsi"/>
                <w:color w:val="000000"/>
                <w:sz w:val="18"/>
                <w:highlight w:val="yellow"/>
              </w:rPr>
            </w:pPr>
            <w:r>
              <w:rPr>
                <w:rFonts w:ascii="Arial" w:hAnsi="Arial" w:cs="Arial"/>
                <w:color w:val="000000"/>
                <w:sz w:val="18"/>
              </w:rPr>
              <w:t>78%</w:t>
            </w:r>
          </w:p>
        </w:tc>
        <w:tc>
          <w:tcPr>
            <w:tcW w:w="3158" w:type="dxa"/>
            <w:noWrap/>
            <w:vAlign w:val="bottom"/>
          </w:tcPr>
          <w:p w:rsidR="004B4774" w:rsidRPr="00290E0C" w:rsidRDefault="004B4774" w:rsidP="009A5A02">
            <w:pPr>
              <w:jc w:val="center"/>
              <w:rPr>
                <w:rFonts w:cstheme="minorHAnsi"/>
                <w:color w:val="000000"/>
                <w:sz w:val="18"/>
                <w:highlight w:val="yellow"/>
              </w:rPr>
            </w:pPr>
            <w:r>
              <w:rPr>
                <w:rFonts w:ascii="Arial" w:hAnsi="Arial" w:cs="Arial"/>
                <w:color w:val="000000"/>
                <w:sz w:val="18"/>
              </w:rPr>
              <w:t>58%</w:t>
            </w:r>
          </w:p>
        </w:tc>
      </w:tr>
    </w:tbl>
    <w:p w:rsidR="004B4774" w:rsidRPr="00C174FF" w:rsidRDefault="004B4774" w:rsidP="004B4774">
      <w:pPr>
        <w:pStyle w:val="Source"/>
      </w:pPr>
      <w:r w:rsidRPr="00C174FF">
        <w:t xml:space="preserve">Source: Census 2001/2011, AECOM </w:t>
      </w:r>
      <w:r w:rsidR="001157B7">
        <w:t>c</w:t>
      </w:r>
      <w:r w:rsidRPr="00C174FF">
        <w:t>alculations</w:t>
      </w:r>
    </w:p>
    <w:p w:rsidR="004B4774" w:rsidRDefault="004B4774" w:rsidP="004B4774">
      <w:pPr>
        <w:pStyle w:val="Heading2"/>
        <w:rPr>
          <w:lang w:val="en-US"/>
        </w:rPr>
      </w:pPr>
      <w:bookmarkStart w:id="190" w:name="_Toc495920034"/>
      <w:bookmarkStart w:id="191" w:name="_Toc504464752"/>
      <w:bookmarkEnd w:id="149"/>
      <w:r w:rsidRPr="009C7161">
        <w:rPr>
          <w:lang w:val="en-US"/>
        </w:rPr>
        <w:t>Overcrowding and concealed families</w:t>
      </w:r>
      <w:bookmarkEnd w:id="190"/>
      <w:bookmarkEnd w:id="191"/>
    </w:p>
    <w:p w:rsidR="004B4774" w:rsidRPr="00BF41E1" w:rsidRDefault="004B4774" w:rsidP="00A258B5">
      <w:pPr>
        <w:pStyle w:val="ListNumber"/>
      </w:pPr>
      <w:r w:rsidRPr="00BF41E1">
        <w:t>Another indicator of demand in the housing market is shown by the prevalence of overcrowding in the NPA. This is because demand for housing in the area can manifest itself in the over-occupation of housing stock</w:t>
      </w:r>
      <w:r>
        <w:t xml:space="preserve">. </w:t>
      </w:r>
    </w:p>
    <w:p w:rsidR="004B4774" w:rsidRPr="00A258B5" w:rsidRDefault="004B4774" w:rsidP="00A258B5">
      <w:pPr>
        <w:pStyle w:val="ListNumber"/>
        <w:rPr>
          <w:lang w:val="en-US"/>
        </w:rPr>
      </w:pPr>
      <w:r w:rsidRPr="00BF41E1">
        <w:rPr>
          <w:rFonts w:ascii="Arial" w:hAnsi="Arial" w:cs="Arial"/>
        </w:rPr>
        <w:t>One of the most reliable indicators of overcrowding is the ‘persons per room’ data collected at the household level during the Census. The relative proportion of households occupying differe</w:t>
      </w:r>
      <w:r>
        <w:rPr>
          <w:rFonts w:ascii="Arial" w:hAnsi="Arial" w:cs="Arial"/>
        </w:rPr>
        <w:t>nt amounts of space in t</w:t>
      </w:r>
      <w:r w:rsidRPr="00BF41E1">
        <w:rPr>
          <w:rFonts w:ascii="Arial" w:hAnsi="Arial" w:cs="Arial"/>
        </w:rPr>
        <w:t xml:space="preserve">he NPA and the </w:t>
      </w:r>
      <w:r w:rsidR="005F5CF8">
        <w:rPr>
          <w:rFonts w:ascii="Arial" w:hAnsi="Arial" w:cs="Arial"/>
        </w:rPr>
        <w:t>District</w:t>
      </w:r>
      <w:r>
        <w:rPr>
          <w:rFonts w:ascii="Arial" w:hAnsi="Arial" w:cs="Arial"/>
        </w:rPr>
        <w:t xml:space="preserve"> is shown in </w:t>
      </w:r>
      <w:r>
        <w:rPr>
          <w:rFonts w:ascii="Arial" w:hAnsi="Arial" w:cs="Arial"/>
        </w:rPr>
        <w:fldChar w:fldCharType="begin"/>
      </w:r>
      <w:r>
        <w:rPr>
          <w:rFonts w:ascii="Arial" w:hAnsi="Arial" w:cs="Arial"/>
        </w:rPr>
        <w:instrText xml:space="preserve"> REF _Ref495662403 \h </w:instrText>
      </w:r>
      <w:r>
        <w:rPr>
          <w:rFonts w:ascii="Arial" w:hAnsi="Arial" w:cs="Arial"/>
        </w:rPr>
      </w:r>
      <w:r>
        <w:rPr>
          <w:rFonts w:ascii="Arial" w:hAnsi="Arial" w:cs="Arial"/>
        </w:rPr>
        <w:fldChar w:fldCharType="separate"/>
      </w:r>
      <w:r w:rsidR="00A258B5">
        <w:t xml:space="preserve">Table </w:t>
      </w:r>
      <w:r w:rsidR="00A258B5">
        <w:rPr>
          <w:noProof/>
        </w:rPr>
        <w:t>28</w:t>
      </w:r>
      <w:r>
        <w:rPr>
          <w:rFonts w:ascii="Arial" w:hAnsi="Arial" w:cs="Arial"/>
        </w:rPr>
        <w:fldChar w:fldCharType="end"/>
      </w:r>
      <w:r>
        <w:rPr>
          <w:rFonts w:ascii="Arial" w:hAnsi="Arial" w:cs="Arial"/>
        </w:rPr>
        <w:t xml:space="preserve">, </w:t>
      </w:r>
      <w:r w:rsidRPr="00BF41E1">
        <w:rPr>
          <w:rFonts w:ascii="Arial" w:hAnsi="Arial" w:cs="Arial"/>
        </w:rPr>
        <w:t>which demonstrates that</w:t>
      </w:r>
      <w:r>
        <w:rPr>
          <w:rFonts w:ascii="Arial" w:hAnsi="Arial" w:cs="Arial"/>
        </w:rPr>
        <w:t xml:space="preserve"> West Wittering households do not experience overcrowding. </w:t>
      </w:r>
    </w:p>
    <w:p w:rsidR="00A258B5" w:rsidRDefault="00A258B5" w:rsidP="00A258B5">
      <w:pPr>
        <w:pStyle w:val="ListNumber"/>
        <w:numPr>
          <w:ilvl w:val="0"/>
          <w:numId w:val="0"/>
        </w:numPr>
        <w:rPr>
          <w:lang w:val="en-US"/>
        </w:rPr>
      </w:pPr>
    </w:p>
    <w:p w:rsidR="004B4774" w:rsidRPr="001409C2" w:rsidRDefault="004B4774" w:rsidP="004B4774">
      <w:pPr>
        <w:pStyle w:val="Caption"/>
      </w:pPr>
      <w:bookmarkStart w:id="192" w:name="_Ref495662403"/>
      <w:bookmarkStart w:id="193" w:name="_Toc488669624"/>
      <w:bookmarkStart w:id="194" w:name="_Toc495920058"/>
      <w:r>
        <w:t xml:space="preserve">Table </w:t>
      </w:r>
      <w:fldSimple w:instr=" SEQ Table \* ARABIC ">
        <w:r w:rsidR="00B25544">
          <w:rPr>
            <w:noProof/>
          </w:rPr>
          <w:t>28</w:t>
        </w:r>
      </w:fldSimple>
      <w:bookmarkEnd w:id="192"/>
      <w:r>
        <w:t xml:space="preserve">: </w:t>
      </w:r>
      <w:r w:rsidRPr="00EC6126">
        <w:t xml:space="preserve">Trends in number of persons per room in </w:t>
      </w:r>
      <w:r>
        <w:t>West Wittering</w:t>
      </w:r>
      <w:r w:rsidRPr="00EC6126">
        <w:t>, 2001-2011</w:t>
      </w:r>
      <w:bookmarkEnd w:id="193"/>
      <w:bookmarkEnd w:id="194"/>
    </w:p>
    <w:tbl>
      <w:tblPr>
        <w:tblStyle w:val="TableGrid"/>
        <w:tblW w:w="0" w:type="auto"/>
        <w:tblLook w:val="04A0" w:firstRow="1" w:lastRow="0" w:firstColumn="1" w:lastColumn="0" w:noHBand="0" w:noVBand="1"/>
      </w:tblPr>
      <w:tblGrid>
        <w:gridCol w:w="3191"/>
        <w:gridCol w:w="1881"/>
        <w:gridCol w:w="1449"/>
        <w:gridCol w:w="1449"/>
        <w:gridCol w:w="1390"/>
      </w:tblGrid>
      <w:tr w:rsidR="004B4774" w:rsidRPr="00B25544" w:rsidTr="00B25544">
        <w:trPr>
          <w:cnfStyle w:val="100000000000" w:firstRow="1" w:lastRow="0" w:firstColumn="0" w:lastColumn="0" w:oddVBand="0" w:evenVBand="0" w:oddHBand="0" w:evenHBand="0" w:firstRowFirstColumn="0" w:firstRowLastColumn="0" w:lastRowFirstColumn="0" w:lastRowLastColumn="0"/>
          <w:trHeight w:val="240"/>
        </w:trPr>
        <w:tc>
          <w:tcPr>
            <w:tcW w:w="3191" w:type="dxa"/>
            <w:shd w:val="clear" w:color="auto" w:fill="000000" w:themeFill="text1"/>
            <w:noWrap/>
            <w:hideMark/>
          </w:tcPr>
          <w:p w:rsidR="004B4774" w:rsidRPr="00B25544" w:rsidRDefault="00B25544" w:rsidP="009A5A02">
            <w:pPr>
              <w:rPr>
                <w:b/>
                <w:sz w:val="18"/>
              </w:rPr>
            </w:pPr>
            <w:r w:rsidRPr="00B25544">
              <w:rPr>
                <w:b/>
                <w:sz w:val="18"/>
              </w:rPr>
              <w:t>Occupancy Rating</w:t>
            </w:r>
          </w:p>
        </w:tc>
        <w:tc>
          <w:tcPr>
            <w:tcW w:w="1881" w:type="dxa"/>
            <w:shd w:val="clear" w:color="auto" w:fill="000000" w:themeFill="text1"/>
            <w:noWrap/>
            <w:hideMark/>
          </w:tcPr>
          <w:p w:rsidR="004B4774" w:rsidRPr="00B25544" w:rsidRDefault="004B4774" w:rsidP="009A5A02">
            <w:pPr>
              <w:rPr>
                <w:b/>
                <w:bCs/>
                <w:sz w:val="18"/>
              </w:rPr>
            </w:pPr>
            <w:r w:rsidRPr="00B25544">
              <w:rPr>
                <w:b/>
                <w:bCs/>
                <w:sz w:val="18"/>
              </w:rPr>
              <w:t>2001</w:t>
            </w:r>
          </w:p>
        </w:tc>
        <w:tc>
          <w:tcPr>
            <w:tcW w:w="1449" w:type="dxa"/>
            <w:shd w:val="clear" w:color="auto" w:fill="000000" w:themeFill="text1"/>
            <w:noWrap/>
            <w:hideMark/>
          </w:tcPr>
          <w:p w:rsidR="004B4774" w:rsidRPr="00B25544" w:rsidRDefault="004B4774" w:rsidP="009A5A02">
            <w:pPr>
              <w:rPr>
                <w:b/>
                <w:bCs/>
                <w:sz w:val="18"/>
              </w:rPr>
            </w:pPr>
            <w:r w:rsidRPr="00B25544">
              <w:rPr>
                <w:b/>
                <w:bCs/>
                <w:sz w:val="18"/>
              </w:rPr>
              <w:t>2001</w:t>
            </w:r>
          </w:p>
        </w:tc>
        <w:tc>
          <w:tcPr>
            <w:tcW w:w="1449" w:type="dxa"/>
            <w:shd w:val="clear" w:color="auto" w:fill="000000" w:themeFill="text1"/>
            <w:noWrap/>
            <w:hideMark/>
          </w:tcPr>
          <w:p w:rsidR="004B4774" w:rsidRPr="00B25544" w:rsidRDefault="004B4774" w:rsidP="009A5A02">
            <w:pPr>
              <w:rPr>
                <w:b/>
                <w:bCs/>
                <w:sz w:val="18"/>
              </w:rPr>
            </w:pPr>
            <w:r w:rsidRPr="00B25544">
              <w:rPr>
                <w:b/>
                <w:bCs/>
                <w:sz w:val="18"/>
              </w:rPr>
              <w:t>2011</w:t>
            </w:r>
          </w:p>
        </w:tc>
        <w:tc>
          <w:tcPr>
            <w:tcW w:w="1390" w:type="dxa"/>
            <w:shd w:val="clear" w:color="auto" w:fill="000000" w:themeFill="text1"/>
            <w:noWrap/>
            <w:hideMark/>
          </w:tcPr>
          <w:p w:rsidR="004B4774" w:rsidRPr="00B25544" w:rsidRDefault="004B4774" w:rsidP="009A5A02">
            <w:pPr>
              <w:rPr>
                <w:b/>
                <w:bCs/>
                <w:sz w:val="18"/>
              </w:rPr>
            </w:pPr>
            <w:r w:rsidRPr="00B25544">
              <w:rPr>
                <w:b/>
                <w:bCs/>
                <w:sz w:val="18"/>
              </w:rPr>
              <w:t>2011</w:t>
            </w:r>
          </w:p>
        </w:tc>
      </w:tr>
      <w:tr w:rsidR="004B4774" w:rsidRPr="00B25544" w:rsidTr="00B25544">
        <w:trPr>
          <w:trHeight w:val="240"/>
        </w:trPr>
        <w:tc>
          <w:tcPr>
            <w:tcW w:w="3191" w:type="dxa"/>
            <w:shd w:val="clear" w:color="auto" w:fill="000000" w:themeFill="text1"/>
            <w:noWrap/>
            <w:hideMark/>
          </w:tcPr>
          <w:p w:rsidR="004B4774" w:rsidRPr="00B25544" w:rsidRDefault="004B4774" w:rsidP="009A5A02">
            <w:pPr>
              <w:rPr>
                <w:sz w:val="18"/>
              </w:rPr>
            </w:pPr>
          </w:p>
        </w:tc>
        <w:tc>
          <w:tcPr>
            <w:tcW w:w="1881" w:type="dxa"/>
            <w:shd w:val="clear" w:color="auto" w:fill="000000" w:themeFill="text1"/>
            <w:noWrap/>
            <w:hideMark/>
          </w:tcPr>
          <w:p w:rsidR="004B4774" w:rsidRPr="00B25544" w:rsidRDefault="004B4774" w:rsidP="009A5A02">
            <w:pPr>
              <w:rPr>
                <w:b/>
                <w:bCs/>
                <w:sz w:val="18"/>
              </w:rPr>
            </w:pPr>
            <w:r w:rsidRPr="00B25544">
              <w:rPr>
                <w:b/>
                <w:bCs/>
                <w:sz w:val="18"/>
              </w:rPr>
              <w:t>West Wittering</w:t>
            </w:r>
          </w:p>
        </w:tc>
        <w:tc>
          <w:tcPr>
            <w:tcW w:w="1449" w:type="dxa"/>
            <w:shd w:val="clear" w:color="auto" w:fill="000000" w:themeFill="text1"/>
            <w:noWrap/>
            <w:hideMark/>
          </w:tcPr>
          <w:p w:rsidR="004B4774" w:rsidRPr="00B25544" w:rsidRDefault="004B4774" w:rsidP="009A5A02">
            <w:pPr>
              <w:rPr>
                <w:b/>
                <w:bCs/>
                <w:sz w:val="18"/>
              </w:rPr>
            </w:pPr>
            <w:r w:rsidRPr="00B25544">
              <w:rPr>
                <w:b/>
                <w:bCs/>
                <w:sz w:val="18"/>
              </w:rPr>
              <w:t>Chichester</w:t>
            </w:r>
          </w:p>
        </w:tc>
        <w:tc>
          <w:tcPr>
            <w:tcW w:w="1449" w:type="dxa"/>
            <w:shd w:val="clear" w:color="auto" w:fill="000000" w:themeFill="text1"/>
            <w:noWrap/>
            <w:hideMark/>
          </w:tcPr>
          <w:p w:rsidR="004B4774" w:rsidRPr="00B25544" w:rsidRDefault="004B4774" w:rsidP="009A5A02">
            <w:pPr>
              <w:rPr>
                <w:b/>
                <w:bCs/>
                <w:sz w:val="18"/>
              </w:rPr>
            </w:pPr>
            <w:r w:rsidRPr="00B25544">
              <w:rPr>
                <w:b/>
                <w:bCs/>
                <w:sz w:val="18"/>
              </w:rPr>
              <w:t>West Wittering</w:t>
            </w:r>
          </w:p>
        </w:tc>
        <w:tc>
          <w:tcPr>
            <w:tcW w:w="1390" w:type="dxa"/>
            <w:shd w:val="clear" w:color="auto" w:fill="000000" w:themeFill="text1"/>
            <w:noWrap/>
            <w:hideMark/>
          </w:tcPr>
          <w:p w:rsidR="004B4774" w:rsidRPr="00B25544" w:rsidRDefault="004B4774" w:rsidP="009A5A02">
            <w:pPr>
              <w:rPr>
                <w:b/>
                <w:bCs/>
                <w:sz w:val="18"/>
              </w:rPr>
            </w:pPr>
            <w:r w:rsidRPr="00B25544">
              <w:rPr>
                <w:b/>
                <w:bCs/>
                <w:sz w:val="18"/>
              </w:rPr>
              <w:t>Chichester</w:t>
            </w:r>
          </w:p>
        </w:tc>
      </w:tr>
      <w:tr w:rsidR="004B4774" w:rsidRPr="00B25544" w:rsidTr="00B25544">
        <w:trPr>
          <w:trHeight w:val="228"/>
        </w:trPr>
        <w:tc>
          <w:tcPr>
            <w:tcW w:w="3191" w:type="dxa"/>
            <w:shd w:val="clear" w:color="auto" w:fill="D9D9D9" w:themeFill="background1" w:themeFillShade="D9"/>
            <w:noWrap/>
            <w:hideMark/>
          </w:tcPr>
          <w:p w:rsidR="004B4774" w:rsidRPr="00B25544" w:rsidRDefault="004B4774" w:rsidP="009A5A02">
            <w:pPr>
              <w:rPr>
                <w:sz w:val="18"/>
              </w:rPr>
            </w:pPr>
            <w:r w:rsidRPr="00B25544">
              <w:rPr>
                <w:sz w:val="18"/>
              </w:rPr>
              <w:t>Up to 0.5 persons per room</w:t>
            </w:r>
          </w:p>
        </w:tc>
        <w:tc>
          <w:tcPr>
            <w:tcW w:w="1881" w:type="dxa"/>
            <w:noWrap/>
            <w:hideMark/>
          </w:tcPr>
          <w:p w:rsidR="004B4774" w:rsidRPr="00B25544" w:rsidRDefault="004B4774" w:rsidP="009A5A02">
            <w:pPr>
              <w:rPr>
                <w:sz w:val="18"/>
              </w:rPr>
            </w:pPr>
            <w:r w:rsidRPr="00B25544">
              <w:rPr>
                <w:sz w:val="18"/>
              </w:rPr>
              <w:t>1171</w:t>
            </w:r>
          </w:p>
        </w:tc>
        <w:tc>
          <w:tcPr>
            <w:tcW w:w="1449" w:type="dxa"/>
            <w:noWrap/>
            <w:hideMark/>
          </w:tcPr>
          <w:p w:rsidR="004B4774" w:rsidRPr="00B25544" w:rsidRDefault="004B4774" w:rsidP="009A5A02">
            <w:pPr>
              <w:rPr>
                <w:sz w:val="18"/>
              </w:rPr>
            </w:pPr>
            <w:r w:rsidRPr="00B25544">
              <w:rPr>
                <w:sz w:val="18"/>
              </w:rPr>
              <w:t>35581</w:t>
            </w:r>
          </w:p>
        </w:tc>
        <w:tc>
          <w:tcPr>
            <w:tcW w:w="1449" w:type="dxa"/>
            <w:noWrap/>
            <w:hideMark/>
          </w:tcPr>
          <w:p w:rsidR="004B4774" w:rsidRPr="00B25544" w:rsidRDefault="004B4774" w:rsidP="009A5A02">
            <w:pPr>
              <w:rPr>
                <w:sz w:val="18"/>
              </w:rPr>
            </w:pPr>
            <w:r w:rsidRPr="00B25544">
              <w:rPr>
                <w:sz w:val="18"/>
              </w:rPr>
              <w:t>1184</w:t>
            </w:r>
          </w:p>
        </w:tc>
        <w:tc>
          <w:tcPr>
            <w:tcW w:w="1390" w:type="dxa"/>
            <w:noWrap/>
            <w:hideMark/>
          </w:tcPr>
          <w:p w:rsidR="004B4774" w:rsidRPr="00B25544" w:rsidRDefault="004B4774" w:rsidP="009A5A02">
            <w:pPr>
              <w:rPr>
                <w:sz w:val="18"/>
              </w:rPr>
            </w:pPr>
            <w:r w:rsidRPr="00B25544">
              <w:rPr>
                <w:sz w:val="18"/>
              </w:rPr>
              <w:t>39081</w:t>
            </w:r>
          </w:p>
        </w:tc>
      </w:tr>
      <w:tr w:rsidR="004B4774" w:rsidRPr="00B25544" w:rsidTr="00B25544">
        <w:trPr>
          <w:trHeight w:val="228"/>
        </w:trPr>
        <w:tc>
          <w:tcPr>
            <w:tcW w:w="3191" w:type="dxa"/>
            <w:shd w:val="clear" w:color="auto" w:fill="D9D9D9" w:themeFill="background1" w:themeFillShade="D9"/>
            <w:noWrap/>
            <w:hideMark/>
          </w:tcPr>
          <w:p w:rsidR="004B4774" w:rsidRPr="00B25544" w:rsidRDefault="004B4774" w:rsidP="009A5A02">
            <w:pPr>
              <w:rPr>
                <w:sz w:val="18"/>
              </w:rPr>
            </w:pPr>
            <w:r w:rsidRPr="00B25544">
              <w:rPr>
                <w:sz w:val="18"/>
              </w:rPr>
              <w:t>Over 0.5 and up to 1.0 persons per room</w:t>
            </w:r>
          </w:p>
        </w:tc>
        <w:tc>
          <w:tcPr>
            <w:tcW w:w="1881" w:type="dxa"/>
            <w:noWrap/>
            <w:hideMark/>
          </w:tcPr>
          <w:p w:rsidR="004B4774" w:rsidRPr="00B25544" w:rsidRDefault="004B4774" w:rsidP="009A5A02">
            <w:pPr>
              <w:rPr>
                <w:sz w:val="18"/>
              </w:rPr>
            </w:pPr>
            <w:r w:rsidRPr="00B25544">
              <w:rPr>
                <w:sz w:val="18"/>
              </w:rPr>
              <w:t>166</w:t>
            </w:r>
          </w:p>
        </w:tc>
        <w:tc>
          <w:tcPr>
            <w:tcW w:w="1449" w:type="dxa"/>
            <w:noWrap/>
            <w:hideMark/>
          </w:tcPr>
          <w:p w:rsidR="004B4774" w:rsidRPr="00B25544" w:rsidRDefault="004B4774" w:rsidP="009A5A02">
            <w:pPr>
              <w:rPr>
                <w:sz w:val="18"/>
              </w:rPr>
            </w:pPr>
            <w:r w:rsidRPr="00B25544">
              <w:rPr>
                <w:sz w:val="18"/>
              </w:rPr>
              <w:t>9805</w:t>
            </w:r>
          </w:p>
        </w:tc>
        <w:tc>
          <w:tcPr>
            <w:tcW w:w="1449" w:type="dxa"/>
            <w:noWrap/>
            <w:hideMark/>
          </w:tcPr>
          <w:p w:rsidR="004B4774" w:rsidRPr="00B25544" w:rsidRDefault="004B4774" w:rsidP="009A5A02">
            <w:pPr>
              <w:rPr>
                <w:sz w:val="18"/>
              </w:rPr>
            </w:pPr>
            <w:r w:rsidRPr="00B25544">
              <w:rPr>
                <w:sz w:val="18"/>
              </w:rPr>
              <w:t>166</w:t>
            </w:r>
          </w:p>
        </w:tc>
        <w:tc>
          <w:tcPr>
            <w:tcW w:w="1390" w:type="dxa"/>
            <w:noWrap/>
            <w:hideMark/>
          </w:tcPr>
          <w:p w:rsidR="004B4774" w:rsidRPr="00B25544" w:rsidRDefault="004B4774" w:rsidP="009A5A02">
            <w:pPr>
              <w:rPr>
                <w:sz w:val="18"/>
              </w:rPr>
            </w:pPr>
            <w:r w:rsidRPr="00B25544">
              <w:rPr>
                <w:sz w:val="18"/>
              </w:rPr>
              <w:t>10321</w:t>
            </w:r>
          </w:p>
        </w:tc>
      </w:tr>
      <w:tr w:rsidR="004B4774" w:rsidRPr="00B25544" w:rsidTr="00B25544">
        <w:trPr>
          <w:trHeight w:val="228"/>
        </w:trPr>
        <w:tc>
          <w:tcPr>
            <w:tcW w:w="3191" w:type="dxa"/>
            <w:shd w:val="clear" w:color="auto" w:fill="D9D9D9" w:themeFill="background1" w:themeFillShade="D9"/>
            <w:noWrap/>
            <w:hideMark/>
          </w:tcPr>
          <w:p w:rsidR="004B4774" w:rsidRPr="00B25544" w:rsidRDefault="004B4774" w:rsidP="009A5A02">
            <w:pPr>
              <w:rPr>
                <w:sz w:val="18"/>
              </w:rPr>
            </w:pPr>
            <w:r w:rsidRPr="00B25544">
              <w:rPr>
                <w:sz w:val="18"/>
              </w:rPr>
              <w:t>Over 1.0 and up to 1.5 persons per room</w:t>
            </w:r>
          </w:p>
        </w:tc>
        <w:tc>
          <w:tcPr>
            <w:tcW w:w="1881" w:type="dxa"/>
            <w:noWrap/>
            <w:hideMark/>
          </w:tcPr>
          <w:p w:rsidR="004B4774" w:rsidRPr="00B25544" w:rsidRDefault="004B4774" w:rsidP="009A5A02">
            <w:pPr>
              <w:rPr>
                <w:sz w:val="18"/>
              </w:rPr>
            </w:pPr>
            <w:r w:rsidRPr="00B25544">
              <w:rPr>
                <w:sz w:val="18"/>
              </w:rPr>
              <w:t>6</w:t>
            </w:r>
          </w:p>
        </w:tc>
        <w:tc>
          <w:tcPr>
            <w:tcW w:w="1449" w:type="dxa"/>
            <w:noWrap/>
            <w:hideMark/>
          </w:tcPr>
          <w:p w:rsidR="004B4774" w:rsidRPr="00B25544" w:rsidRDefault="004B4774" w:rsidP="009A5A02">
            <w:pPr>
              <w:rPr>
                <w:sz w:val="18"/>
              </w:rPr>
            </w:pPr>
            <w:r w:rsidRPr="00B25544">
              <w:rPr>
                <w:sz w:val="18"/>
              </w:rPr>
              <w:t>325</w:t>
            </w:r>
          </w:p>
        </w:tc>
        <w:tc>
          <w:tcPr>
            <w:tcW w:w="1449" w:type="dxa"/>
            <w:noWrap/>
            <w:hideMark/>
          </w:tcPr>
          <w:p w:rsidR="004B4774" w:rsidRPr="00B25544" w:rsidRDefault="004B4774" w:rsidP="009A5A02">
            <w:pPr>
              <w:rPr>
                <w:sz w:val="18"/>
              </w:rPr>
            </w:pPr>
            <w:r w:rsidRPr="00B25544">
              <w:rPr>
                <w:sz w:val="18"/>
              </w:rPr>
              <w:t>2</w:t>
            </w:r>
          </w:p>
        </w:tc>
        <w:tc>
          <w:tcPr>
            <w:tcW w:w="1390" w:type="dxa"/>
            <w:noWrap/>
            <w:hideMark/>
          </w:tcPr>
          <w:p w:rsidR="004B4774" w:rsidRPr="00B25544" w:rsidRDefault="004B4774" w:rsidP="009A5A02">
            <w:pPr>
              <w:rPr>
                <w:sz w:val="18"/>
              </w:rPr>
            </w:pPr>
            <w:r w:rsidRPr="00B25544">
              <w:rPr>
                <w:sz w:val="18"/>
              </w:rPr>
              <w:t>377</w:t>
            </w:r>
          </w:p>
        </w:tc>
      </w:tr>
      <w:tr w:rsidR="004B4774" w:rsidRPr="00B25544" w:rsidTr="00B25544">
        <w:trPr>
          <w:trHeight w:val="228"/>
        </w:trPr>
        <w:tc>
          <w:tcPr>
            <w:tcW w:w="3191" w:type="dxa"/>
            <w:shd w:val="clear" w:color="auto" w:fill="D9D9D9" w:themeFill="background1" w:themeFillShade="D9"/>
            <w:noWrap/>
            <w:hideMark/>
          </w:tcPr>
          <w:p w:rsidR="004B4774" w:rsidRPr="00B25544" w:rsidRDefault="004B4774" w:rsidP="009A5A02">
            <w:pPr>
              <w:rPr>
                <w:sz w:val="18"/>
              </w:rPr>
            </w:pPr>
            <w:r w:rsidRPr="00B25544">
              <w:rPr>
                <w:sz w:val="18"/>
              </w:rPr>
              <w:t>Over 1.5 persons per room</w:t>
            </w:r>
          </w:p>
        </w:tc>
        <w:tc>
          <w:tcPr>
            <w:tcW w:w="1881" w:type="dxa"/>
            <w:noWrap/>
            <w:hideMark/>
          </w:tcPr>
          <w:p w:rsidR="004B4774" w:rsidRPr="00B25544" w:rsidRDefault="004B4774" w:rsidP="009A5A02">
            <w:pPr>
              <w:rPr>
                <w:sz w:val="18"/>
              </w:rPr>
            </w:pPr>
            <w:r w:rsidRPr="00B25544">
              <w:rPr>
                <w:sz w:val="18"/>
              </w:rPr>
              <w:t>0</w:t>
            </w:r>
          </w:p>
        </w:tc>
        <w:tc>
          <w:tcPr>
            <w:tcW w:w="1449" w:type="dxa"/>
            <w:noWrap/>
            <w:hideMark/>
          </w:tcPr>
          <w:p w:rsidR="004B4774" w:rsidRPr="00B25544" w:rsidRDefault="004B4774" w:rsidP="009A5A02">
            <w:pPr>
              <w:rPr>
                <w:sz w:val="18"/>
              </w:rPr>
            </w:pPr>
            <w:r w:rsidRPr="00B25544">
              <w:rPr>
                <w:sz w:val="18"/>
              </w:rPr>
              <w:t>85</w:t>
            </w:r>
          </w:p>
        </w:tc>
        <w:tc>
          <w:tcPr>
            <w:tcW w:w="1449" w:type="dxa"/>
            <w:noWrap/>
            <w:hideMark/>
          </w:tcPr>
          <w:p w:rsidR="004B4774" w:rsidRPr="00B25544" w:rsidRDefault="004B4774" w:rsidP="009A5A02">
            <w:pPr>
              <w:rPr>
                <w:sz w:val="18"/>
              </w:rPr>
            </w:pPr>
            <w:r w:rsidRPr="00B25544">
              <w:rPr>
                <w:sz w:val="18"/>
              </w:rPr>
              <w:t>0</w:t>
            </w:r>
          </w:p>
        </w:tc>
        <w:tc>
          <w:tcPr>
            <w:tcW w:w="1390" w:type="dxa"/>
            <w:noWrap/>
            <w:hideMark/>
          </w:tcPr>
          <w:p w:rsidR="004B4774" w:rsidRPr="00B25544" w:rsidRDefault="004B4774" w:rsidP="009A5A02">
            <w:pPr>
              <w:rPr>
                <w:sz w:val="18"/>
              </w:rPr>
            </w:pPr>
            <w:r w:rsidRPr="00B25544">
              <w:rPr>
                <w:sz w:val="18"/>
              </w:rPr>
              <w:t>69</w:t>
            </w:r>
          </w:p>
        </w:tc>
      </w:tr>
    </w:tbl>
    <w:p w:rsidR="004B4774" w:rsidRDefault="004B4774" w:rsidP="004B4774">
      <w:pPr>
        <w:pStyle w:val="Source"/>
      </w:pPr>
      <w:r w:rsidRPr="00A016C8">
        <w:t xml:space="preserve">Source: Census 2001/2011, AECOM </w:t>
      </w:r>
      <w:r w:rsidR="001157B7">
        <w:t>c</w:t>
      </w:r>
      <w:r w:rsidRPr="00A016C8">
        <w:t>alculations</w:t>
      </w:r>
    </w:p>
    <w:p w:rsidR="004B4774" w:rsidRPr="00A54150" w:rsidRDefault="004B4774" w:rsidP="00A258B5">
      <w:pPr>
        <w:pStyle w:val="ListNumber"/>
      </w:pPr>
      <w:r w:rsidRPr="00BF41E1">
        <w:lastRenderedPageBreak/>
        <w:t>A second indicator of overcrowdin</w:t>
      </w:r>
      <w:r>
        <w:t>g is the prevalence of c</w:t>
      </w:r>
      <w:r w:rsidRPr="00BF41E1">
        <w:t>oncealed families within the NPA.</w:t>
      </w:r>
      <w:r>
        <w:t xml:space="preserve"> </w:t>
      </w:r>
      <w:r w:rsidRPr="007C1F69">
        <w:rPr>
          <w:lang w:val="en"/>
        </w:rPr>
        <w:t>A concealed family is one living in a multi-family household in addition to the primary family, such as a young couple living with parents.</w:t>
      </w:r>
      <w:r>
        <w:rPr>
          <w:rStyle w:val="FootnoteReference"/>
          <w:rFonts w:cs="Arial"/>
          <w:lang w:val="en"/>
        </w:rPr>
        <w:footnoteReference w:id="55"/>
      </w:r>
      <w:r w:rsidRPr="00BF41E1">
        <w:t xml:space="preserve"> ONS data shows</w:t>
      </w:r>
      <w:r>
        <w:t xml:space="preserve"> that there are 10 </w:t>
      </w:r>
      <w:r w:rsidRPr="00BF41E1">
        <w:t>conc</w:t>
      </w:r>
      <w:r>
        <w:t xml:space="preserve">ealed families in West Wittering, or 1.2% of all families, slightly lower than the average for Chichester (1.3%) and for England as a whole (1.9%), as shown in </w:t>
      </w:r>
      <w:r w:rsidR="00B25544">
        <w:fldChar w:fldCharType="begin"/>
      </w:r>
      <w:r w:rsidR="00B25544">
        <w:instrText xml:space="preserve"> REF _Ref495668025 \h </w:instrText>
      </w:r>
      <w:r w:rsidR="00B25544">
        <w:fldChar w:fldCharType="separate"/>
      </w:r>
      <w:r w:rsidR="00B25544">
        <w:t xml:space="preserve">Table </w:t>
      </w:r>
      <w:r w:rsidR="00B25544">
        <w:rPr>
          <w:noProof/>
        </w:rPr>
        <w:t>29</w:t>
      </w:r>
      <w:r w:rsidR="00B25544">
        <w:fldChar w:fldCharType="end"/>
      </w:r>
      <w:r w:rsidR="00B25544">
        <w:t>.</w:t>
      </w:r>
      <w:r>
        <w:t xml:space="preserve"> </w:t>
      </w:r>
      <w:r w:rsidRPr="00BF41E1">
        <w:t xml:space="preserve">This is not seen as highly significant, although concealed families do indicate that there </w:t>
      </w:r>
      <w:r>
        <w:t>is unmet additional</w:t>
      </w:r>
      <w:r w:rsidRPr="00BF41E1">
        <w:t xml:space="preserve"> demand for housing in the area </w:t>
      </w:r>
      <w:r>
        <w:t>from those already living there, that is, local demand.</w:t>
      </w:r>
    </w:p>
    <w:p w:rsidR="004B4774" w:rsidRDefault="004B4774" w:rsidP="004B4774">
      <w:pPr>
        <w:pStyle w:val="Caption"/>
      </w:pPr>
      <w:bookmarkStart w:id="195" w:name="_Ref495668025"/>
      <w:bookmarkStart w:id="196" w:name="_Toc488669625"/>
      <w:bookmarkStart w:id="197" w:name="_Toc495920059"/>
      <w:r>
        <w:t xml:space="preserve">Table </w:t>
      </w:r>
      <w:fldSimple w:instr=" SEQ Table \* ARABIC ">
        <w:r w:rsidR="00B25544">
          <w:rPr>
            <w:noProof/>
          </w:rPr>
          <w:t>29</w:t>
        </w:r>
      </w:fldSimple>
      <w:bookmarkEnd w:id="195"/>
      <w:r>
        <w:t xml:space="preserve">: Concealed families in West Wittering, </w:t>
      </w:r>
      <w:r w:rsidRPr="00074984">
        <w:t>2011</w:t>
      </w:r>
      <w:bookmarkEnd w:id="196"/>
      <w:bookmarkEnd w:id="197"/>
    </w:p>
    <w:tbl>
      <w:tblPr>
        <w:tblW w:w="9077" w:type="dxa"/>
        <w:tblInd w:w="103" w:type="dxa"/>
        <w:tblLook w:val="04A0" w:firstRow="1" w:lastRow="0" w:firstColumn="1" w:lastColumn="0" w:noHBand="0" w:noVBand="1"/>
      </w:tblPr>
      <w:tblGrid>
        <w:gridCol w:w="3407"/>
        <w:gridCol w:w="1843"/>
        <w:gridCol w:w="1701"/>
        <w:gridCol w:w="2126"/>
      </w:tblGrid>
      <w:tr w:rsidR="004B4774" w:rsidRPr="00117252" w:rsidTr="009A5A02">
        <w:trPr>
          <w:trHeight w:val="288"/>
        </w:trPr>
        <w:tc>
          <w:tcPr>
            <w:tcW w:w="3407" w:type="dxa"/>
            <w:tcBorders>
              <w:top w:val="single" w:sz="4" w:space="0" w:color="auto"/>
              <w:left w:val="single" w:sz="4" w:space="0" w:color="auto"/>
              <w:bottom w:val="single" w:sz="4" w:space="0" w:color="auto"/>
              <w:right w:val="single" w:sz="4" w:space="0" w:color="auto"/>
            </w:tcBorders>
            <w:shd w:val="clear" w:color="auto" w:fill="000000" w:themeFill="text1"/>
            <w:noWrap/>
            <w:vAlign w:val="bottom"/>
            <w:hideMark/>
          </w:tcPr>
          <w:p w:rsidR="004B4774" w:rsidRPr="00117252" w:rsidRDefault="004B4774" w:rsidP="009A5A02">
            <w:pPr>
              <w:spacing w:line="240" w:lineRule="auto"/>
              <w:rPr>
                <w:rFonts w:asciiTheme="majorHAnsi" w:eastAsia="Times New Roman" w:hAnsiTheme="majorHAnsi" w:cstheme="majorHAnsi"/>
                <w:b/>
                <w:bCs/>
                <w:color w:val="FFFFFF" w:themeColor="background1"/>
                <w:lang w:eastAsia="en-GB"/>
              </w:rPr>
            </w:pPr>
            <w:r w:rsidRPr="00117252">
              <w:rPr>
                <w:rFonts w:asciiTheme="majorHAnsi" w:eastAsia="Times New Roman" w:hAnsiTheme="majorHAnsi" w:cstheme="majorHAnsi"/>
                <w:b/>
                <w:bCs/>
                <w:color w:val="FFFFFF" w:themeColor="background1"/>
                <w:lang w:eastAsia="en-GB"/>
              </w:rPr>
              <w:t>Concealed families</w:t>
            </w:r>
          </w:p>
        </w:tc>
        <w:tc>
          <w:tcPr>
            <w:tcW w:w="1843" w:type="dxa"/>
            <w:tcBorders>
              <w:top w:val="single" w:sz="4" w:space="0" w:color="auto"/>
              <w:left w:val="nil"/>
              <w:bottom w:val="single" w:sz="4" w:space="0" w:color="auto"/>
              <w:right w:val="single" w:sz="4" w:space="0" w:color="auto"/>
            </w:tcBorders>
            <w:shd w:val="clear" w:color="auto" w:fill="000000" w:themeFill="text1"/>
            <w:noWrap/>
            <w:vAlign w:val="bottom"/>
            <w:hideMark/>
          </w:tcPr>
          <w:p w:rsidR="004B4774" w:rsidRPr="00117252" w:rsidRDefault="004B4774" w:rsidP="009A5A02">
            <w:pPr>
              <w:spacing w:line="240" w:lineRule="auto"/>
              <w:rPr>
                <w:rFonts w:asciiTheme="majorHAnsi" w:eastAsia="Times New Roman" w:hAnsiTheme="majorHAnsi" w:cstheme="majorHAnsi"/>
                <w:b/>
                <w:bCs/>
                <w:color w:val="FFFFFF" w:themeColor="background1"/>
                <w:lang w:eastAsia="en-GB"/>
              </w:rPr>
            </w:pPr>
            <w:r>
              <w:rPr>
                <w:rFonts w:eastAsia="Times New Roman" w:cstheme="majorHAnsi"/>
                <w:b/>
                <w:bCs/>
                <w:color w:val="FFFFFF" w:themeColor="background1"/>
                <w:lang w:eastAsia="en-GB"/>
              </w:rPr>
              <w:t>West Wittering</w:t>
            </w:r>
          </w:p>
        </w:tc>
        <w:tc>
          <w:tcPr>
            <w:tcW w:w="1701" w:type="dxa"/>
            <w:tcBorders>
              <w:top w:val="single" w:sz="4" w:space="0" w:color="auto"/>
              <w:left w:val="nil"/>
              <w:bottom w:val="single" w:sz="4" w:space="0" w:color="auto"/>
              <w:right w:val="single" w:sz="4" w:space="0" w:color="auto"/>
            </w:tcBorders>
            <w:shd w:val="clear" w:color="auto" w:fill="000000" w:themeFill="text1"/>
            <w:noWrap/>
            <w:vAlign w:val="bottom"/>
            <w:hideMark/>
          </w:tcPr>
          <w:p w:rsidR="004B4774" w:rsidRPr="00117252" w:rsidRDefault="004B4774" w:rsidP="009A5A02">
            <w:pPr>
              <w:spacing w:line="240" w:lineRule="auto"/>
              <w:rPr>
                <w:rFonts w:asciiTheme="majorHAnsi" w:eastAsia="Times New Roman" w:hAnsiTheme="majorHAnsi" w:cstheme="majorHAnsi"/>
                <w:b/>
                <w:bCs/>
                <w:color w:val="FFFFFF" w:themeColor="background1"/>
                <w:lang w:eastAsia="en-GB"/>
              </w:rPr>
            </w:pPr>
            <w:r>
              <w:rPr>
                <w:rFonts w:eastAsia="Times New Roman" w:cstheme="majorHAnsi"/>
                <w:b/>
                <w:bCs/>
                <w:color w:val="FFFFFF" w:themeColor="background1"/>
                <w:lang w:eastAsia="en-GB"/>
              </w:rPr>
              <w:t>Chichester</w:t>
            </w:r>
          </w:p>
        </w:tc>
        <w:tc>
          <w:tcPr>
            <w:tcW w:w="2126" w:type="dxa"/>
            <w:tcBorders>
              <w:top w:val="single" w:sz="4" w:space="0" w:color="auto"/>
              <w:left w:val="nil"/>
              <w:bottom w:val="single" w:sz="4" w:space="0" w:color="auto"/>
              <w:right w:val="single" w:sz="4" w:space="0" w:color="auto"/>
            </w:tcBorders>
            <w:shd w:val="clear" w:color="auto" w:fill="000000" w:themeFill="text1"/>
            <w:noWrap/>
            <w:vAlign w:val="bottom"/>
            <w:hideMark/>
          </w:tcPr>
          <w:p w:rsidR="004B4774" w:rsidRPr="00117252" w:rsidRDefault="004B4774" w:rsidP="009A5A02">
            <w:pPr>
              <w:spacing w:line="240" w:lineRule="auto"/>
              <w:rPr>
                <w:rFonts w:asciiTheme="majorHAnsi" w:eastAsia="Times New Roman" w:hAnsiTheme="majorHAnsi" w:cstheme="majorHAnsi"/>
                <w:b/>
                <w:bCs/>
                <w:color w:val="FFFFFF" w:themeColor="background1"/>
                <w:lang w:eastAsia="en-GB"/>
              </w:rPr>
            </w:pPr>
            <w:r w:rsidRPr="00117252">
              <w:rPr>
                <w:rFonts w:asciiTheme="majorHAnsi" w:eastAsia="Times New Roman" w:hAnsiTheme="majorHAnsi" w:cstheme="majorHAnsi"/>
                <w:b/>
                <w:bCs/>
                <w:color w:val="FFFFFF" w:themeColor="background1"/>
                <w:lang w:eastAsia="en-GB"/>
              </w:rPr>
              <w:t>England</w:t>
            </w:r>
          </w:p>
        </w:tc>
      </w:tr>
      <w:tr w:rsidR="004B4774" w:rsidRPr="00117252" w:rsidTr="009A5A02">
        <w:trPr>
          <w:trHeight w:val="288"/>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4B4774" w:rsidRPr="00117252" w:rsidRDefault="004B4774" w:rsidP="009A5A02">
            <w:pPr>
              <w:spacing w:line="240" w:lineRule="auto"/>
              <w:rPr>
                <w:rFonts w:asciiTheme="majorHAnsi" w:eastAsia="Times New Roman" w:hAnsiTheme="majorHAnsi" w:cstheme="majorHAnsi"/>
                <w:color w:val="000000"/>
                <w:lang w:eastAsia="en-GB"/>
              </w:rPr>
            </w:pPr>
            <w:r w:rsidRPr="00117252">
              <w:rPr>
                <w:rFonts w:asciiTheme="majorHAnsi" w:eastAsia="Times New Roman" w:hAnsiTheme="majorHAnsi" w:cstheme="majorHAnsi"/>
                <w:color w:val="000000"/>
                <w:lang w:eastAsia="en-GB"/>
              </w:rPr>
              <w:t>All families: total</w:t>
            </w:r>
          </w:p>
        </w:tc>
        <w:tc>
          <w:tcPr>
            <w:tcW w:w="1843" w:type="dxa"/>
            <w:tcBorders>
              <w:top w:val="nil"/>
              <w:left w:val="nil"/>
              <w:bottom w:val="single" w:sz="4" w:space="0" w:color="auto"/>
              <w:right w:val="single" w:sz="4" w:space="0" w:color="auto"/>
            </w:tcBorders>
            <w:shd w:val="clear" w:color="auto" w:fill="auto"/>
            <w:noWrap/>
            <w:vAlign w:val="bottom"/>
            <w:hideMark/>
          </w:tcPr>
          <w:p w:rsidR="004B4774" w:rsidRPr="00D90E49" w:rsidRDefault="004B4774" w:rsidP="009A5A02">
            <w:pPr>
              <w:jc w:val="center"/>
              <w:rPr>
                <w:rFonts w:ascii="Calibri" w:hAnsi="Calibri"/>
                <w:color w:val="000000"/>
                <w:sz w:val="22"/>
                <w:szCs w:val="22"/>
                <w:highlight w:val="yellow"/>
              </w:rPr>
            </w:pPr>
            <w:r>
              <w:rPr>
                <w:rFonts w:ascii="Arial" w:hAnsi="Arial" w:cs="Arial"/>
                <w:color w:val="000000"/>
              </w:rPr>
              <w:t>837</w:t>
            </w:r>
          </w:p>
        </w:tc>
        <w:tc>
          <w:tcPr>
            <w:tcW w:w="1701" w:type="dxa"/>
            <w:tcBorders>
              <w:top w:val="nil"/>
              <w:left w:val="nil"/>
              <w:bottom w:val="single" w:sz="4" w:space="0" w:color="auto"/>
              <w:right w:val="single" w:sz="4" w:space="0" w:color="auto"/>
            </w:tcBorders>
            <w:shd w:val="clear" w:color="auto" w:fill="auto"/>
            <w:noWrap/>
            <w:vAlign w:val="bottom"/>
            <w:hideMark/>
          </w:tcPr>
          <w:p w:rsidR="004B4774" w:rsidRPr="00D90E49" w:rsidRDefault="004B4774" w:rsidP="009A5A02">
            <w:pPr>
              <w:jc w:val="center"/>
              <w:rPr>
                <w:rFonts w:ascii="Calibri" w:hAnsi="Calibri"/>
                <w:color w:val="000000"/>
                <w:sz w:val="22"/>
                <w:szCs w:val="22"/>
                <w:highlight w:val="yellow"/>
              </w:rPr>
            </w:pPr>
            <w:r>
              <w:rPr>
                <w:rFonts w:ascii="Arial" w:hAnsi="Arial" w:cs="Arial"/>
                <w:color w:val="000000"/>
              </w:rPr>
              <w:t>32,930</w:t>
            </w:r>
          </w:p>
        </w:tc>
        <w:tc>
          <w:tcPr>
            <w:tcW w:w="2126" w:type="dxa"/>
            <w:tcBorders>
              <w:top w:val="nil"/>
              <w:left w:val="nil"/>
              <w:bottom w:val="single" w:sz="4" w:space="0" w:color="auto"/>
              <w:right w:val="single" w:sz="4" w:space="0" w:color="auto"/>
            </w:tcBorders>
            <w:shd w:val="clear" w:color="auto" w:fill="auto"/>
            <w:noWrap/>
            <w:vAlign w:val="bottom"/>
            <w:hideMark/>
          </w:tcPr>
          <w:p w:rsidR="004B4774" w:rsidRPr="00D90E49" w:rsidRDefault="004B4774" w:rsidP="009A5A02">
            <w:pPr>
              <w:jc w:val="center"/>
              <w:rPr>
                <w:rFonts w:ascii="Calibri" w:hAnsi="Calibri"/>
                <w:color w:val="000000"/>
                <w:sz w:val="22"/>
                <w:szCs w:val="22"/>
                <w:highlight w:val="yellow"/>
              </w:rPr>
            </w:pPr>
            <w:r>
              <w:rPr>
                <w:rFonts w:ascii="Arial" w:hAnsi="Arial" w:cs="Arial"/>
                <w:color w:val="000000"/>
              </w:rPr>
              <w:t>14,885,145</w:t>
            </w:r>
          </w:p>
        </w:tc>
      </w:tr>
      <w:tr w:rsidR="004B4774" w:rsidRPr="00117252" w:rsidTr="009A5A02">
        <w:trPr>
          <w:trHeight w:val="288"/>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4B4774" w:rsidRPr="00117252" w:rsidRDefault="004B4774" w:rsidP="009A5A02">
            <w:pPr>
              <w:spacing w:line="240" w:lineRule="auto"/>
              <w:rPr>
                <w:rFonts w:asciiTheme="majorHAnsi" w:eastAsia="Times New Roman" w:hAnsiTheme="majorHAnsi" w:cstheme="majorHAnsi"/>
                <w:color w:val="000000"/>
                <w:lang w:eastAsia="en-GB"/>
              </w:rPr>
            </w:pPr>
            <w:r w:rsidRPr="00117252">
              <w:rPr>
                <w:rFonts w:asciiTheme="majorHAnsi" w:eastAsia="Times New Roman" w:hAnsiTheme="majorHAnsi" w:cstheme="majorHAnsi"/>
                <w:color w:val="000000"/>
                <w:lang w:eastAsia="en-GB"/>
              </w:rPr>
              <w:t>Concealed families: total</w:t>
            </w:r>
          </w:p>
        </w:tc>
        <w:tc>
          <w:tcPr>
            <w:tcW w:w="1843" w:type="dxa"/>
            <w:tcBorders>
              <w:top w:val="nil"/>
              <w:left w:val="nil"/>
              <w:bottom w:val="single" w:sz="4" w:space="0" w:color="auto"/>
              <w:right w:val="single" w:sz="4" w:space="0" w:color="auto"/>
            </w:tcBorders>
            <w:shd w:val="clear" w:color="auto" w:fill="auto"/>
            <w:noWrap/>
            <w:vAlign w:val="bottom"/>
            <w:hideMark/>
          </w:tcPr>
          <w:p w:rsidR="004B4774" w:rsidRPr="00D90E49" w:rsidRDefault="004B4774" w:rsidP="009A5A02">
            <w:pPr>
              <w:jc w:val="center"/>
              <w:rPr>
                <w:rFonts w:ascii="Calibri" w:hAnsi="Calibri"/>
                <w:color w:val="000000"/>
                <w:sz w:val="22"/>
                <w:szCs w:val="22"/>
                <w:highlight w:val="yellow"/>
              </w:rPr>
            </w:pPr>
            <w:r>
              <w:rPr>
                <w:rFonts w:ascii="Arial" w:hAnsi="Arial" w:cs="Arial"/>
                <w:color w:val="000000"/>
              </w:rPr>
              <w:t>10</w:t>
            </w:r>
          </w:p>
        </w:tc>
        <w:tc>
          <w:tcPr>
            <w:tcW w:w="1701" w:type="dxa"/>
            <w:tcBorders>
              <w:top w:val="nil"/>
              <w:left w:val="nil"/>
              <w:bottom w:val="single" w:sz="4" w:space="0" w:color="auto"/>
              <w:right w:val="single" w:sz="4" w:space="0" w:color="auto"/>
            </w:tcBorders>
            <w:shd w:val="clear" w:color="auto" w:fill="auto"/>
            <w:noWrap/>
            <w:vAlign w:val="bottom"/>
            <w:hideMark/>
          </w:tcPr>
          <w:p w:rsidR="004B4774" w:rsidRPr="00D90E49" w:rsidRDefault="004B4774" w:rsidP="009A5A02">
            <w:pPr>
              <w:jc w:val="center"/>
              <w:rPr>
                <w:rFonts w:ascii="Calibri" w:hAnsi="Calibri"/>
                <w:color w:val="000000"/>
                <w:sz w:val="22"/>
                <w:szCs w:val="22"/>
                <w:highlight w:val="yellow"/>
              </w:rPr>
            </w:pPr>
            <w:r>
              <w:rPr>
                <w:rFonts w:ascii="Arial" w:hAnsi="Arial" w:cs="Arial"/>
                <w:color w:val="000000"/>
              </w:rPr>
              <w:t>428</w:t>
            </w:r>
          </w:p>
        </w:tc>
        <w:tc>
          <w:tcPr>
            <w:tcW w:w="2126" w:type="dxa"/>
            <w:tcBorders>
              <w:top w:val="nil"/>
              <w:left w:val="nil"/>
              <w:bottom w:val="single" w:sz="4" w:space="0" w:color="auto"/>
              <w:right w:val="single" w:sz="4" w:space="0" w:color="auto"/>
            </w:tcBorders>
            <w:shd w:val="clear" w:color="auto" w:fill="auto"/>
            <w:noWrap/>
            <w:vAlign w:val="bottom"/>
            <w:hideMark/>
          </w:tcPr>
          <w:p w:rsidR="004B4774" w:rsidRPr="00D90E49" w:rsidRDefault="004B4774" w:rsidP="009A5A02">
            <w:pPr>
              <w:jc w:val="center"/>
              <w:rPr>
                <w:rFonts w:ascii="Calibri" w:hAnsi="Calibri"/>
                <w:color w:val="000000"/>
                <w:sz w:val="22"/>
                <w:szCs w:val="22"/>
                <w:highlight w:val="yellow"/>
              </w:rPr>
            </w:pPr>
            <w:r>
              <w:rPr>
                <w:rFonts w:ascii="Arial" w:hAnsi="Arial" w:cs="Arial"/>
                <w:color w:val="000000"/>
              </w:rPr>
              <w:t>275,954</w:t>
            </w:r>
          </w:p>
        </w:tc>
      </w:tr>
      <w:tr w:rsidR="004B4774" w:rsidRPr="00117252" w:rsidTr="009A5A02">
        <w:trPr>
          <w:trHeight w:val="288"/>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4B4774" w:rsidRPr="00117252" w:rsidRDefault="004B4774" w:rsidP="009A5A02">
            <w:pPr>
              <w:spacing w:line="240" w:lineRule="auto"/>
              <w:rPr>
                <w:rFonts w:asciiTheme="majorHAnsi" w:eastAsia="Times New Roman" w:hAnsiTheme="majorHAnsi" w:cstheme="majorHAnsi"/>
                <w:color w:val="000000"/>
                <w:lang w:eastAsia="en-GB"/>
              </w:rPr>
            </w:pPr>
            <w:r w:rsidRPr="00117252">
              <w:rPr>
                <w:rFonts w:asciiTheme="majorHAnsi" w:eastAsia="Times New Roman" w:hAnsiTheme="majorHAnsi" w:cstheme="majorHAnsi"/>
                <w:color w:val="000000"/>
                <w:lang w:eastAsia="en-GB"/>
              </w:rPr>
              <w:t>Concealed families as % of total</w:t>
            </w:r>
          </w:p>
        </w:tc>
        <w:tc>
          <w:tcPr>
            <w:tcW w:w="1843" w:type="dxa"/>
            <w:tcBorders>
              <w:top w:val="nil"/>
              <w:left w:val="nil"/>
              <w:bottom w:val="single" w:sz="4" w:space="0" w:color="auto"/>
              <w:right w:val="single" w:sz="4" w:space="0" w:color="auto"/>
            </w:tcBorders>
            <w:shd w:val="clear" w:color="auto" w:fill="auto"/>
            <w:noWrap/>
            <w:vAlign w:val="bottom"/>
            <w:hideMark/>
          </w:tcPr>
          <w:p w:rsidR="004B4774" w:rsidRPr="00D90E49" w:rsidRDefault="004B4774" w:rsidP="009A5A02">
            <w:pPr>
              <w:jc w:val="center"/>
              <w:rPr>
                <w:rFonts w:ascii="Calibri" w:hAnsi="Calibri"/>
                <w:color w:val="000000"/>
                <w:sz w:val="22"/>
                <w:szCs w:val="22"/>
                <w:highlight w:val="yellow"/>
              </w:rPr>
            </w:pPr>
            <w:r>
              <w:rPr>
                <w:rFonts w:ascii="Arial" w:hAnsi="Arial" w:cs="Arial"/>
                <w:color w:val="000000"/>
              </w:rPr>
              <w:t>1.2%</w:t>
            </w:r>
          </w:p>
        </w:tc>
        <w:tc>
          <w:tcPr>
            <w:tcW w:w="1701" w:type="dxa"/>
            <w:tcBorders>
              <w:top w:val="nil"/>
              <w:left w:val="nil"/>
              <w:bottom w:val="single" w:sz="4" w:space="0" w:color="auto"/>
              <w:right w:val="single" w:sz="4" w:space="0" w:color="auto"/>
            </w:tcBorders>
            <w:shd w:val="clear" w:color="auto" w:fill="auto"/>
            <w:noWrap/>
            <w:vAlign w:val="bottom"/>
            <w:hideMark/>
          </w:tcPr>
          <w:p w:rsidR="004B4774" w:rsidRPr="00D90E49" w:rsidRDefault="004B4774" w:rsidP="009A5A02">
            <w:pPr>
              <w:jc w:val="center"/>
              <w:rPr>
                <w:rFonts w:ascii="Calibri" w:hAnsi="Calibri"/>
                <w:color w:val="000000"/>
                <w:sz w:val="22"/>
                <w:szCs w:val="22"/>
                <w:highlight w:val="yellow"/>
              </w:rPr>
            </w:pPr>
            <w:r>
              <w:rPr>
                <w:rFonts w:ascii="Arial" w:hAnsi="Arial" w:cs="Arial"/>
                <w:color w:val="000000"/>
              </w:rPr>
              <w:t>1.3%</w:t>
            </w:r>
          </w:p>
        </w:tc>
        <w:tc>
          <w:tcPr>
            <w:tcW w:w="2126" w:type="dxa"/>
            <w:tcBorders>
              <w:top w:val="nil"/>
              <w:left w:val="nil"/>
              <w:bottom w:val="single" w:sz="4" w:space="0" w:color="auto"/>
              <w:right w:val="single" w:sz="4" w:space="0" w:color="auto"/>
            </w:tcBorders>
            <w:shd w:val="clear" w:color="auto" w:fill="auto"/>
            <w:noWrap/>
            <w:vAlign w:val="bottom"/>
            <w:hideMark/>
          </w:tcPr>
          <w:p w:rsidR="004B4774" w:rsidRPr="00D90E49" w:rsidRDefault="004B4774" w:rsidP="009A5A02">
            <w:pPr>
              <w:jc w:val="center"/>
              <w:rPr>
                <w:rFonts w:ascii="Calibri" w:hAnsi="Calibri"/>
                <w:color w:val="000000"/>
                <w:sz w:val="22"/>
                <w:szCs w:val="22"/>
                <w:highlight w:val="yellow"/>
              </w:rPr>
            </w:pPr>
            <w:r>
              <w:rPr>
                <w:rFonts w:ascii="Arial" w:hAnsi="Arial" w:cs="Arial"/>
                <w:color w:val="000000"/>
              </w:rPr>
              <w:t>1.9%</w:t>
            </w:r>
          </w:p>
        </w:tc>
      </w:tr>
    </w:tbl>
    <w:p w:rsidR="004B4774" w:rsidRPr="00A54150" w:rsidRDefault="004B4774" w:rsidP="004B4774">
      <w:pPr>
        <w:pStyle w:val="Source"/>
      </w:pPr>
      <w:r>
        <w:t>Source: Census 2011, AECOM Calculations</w:t>
      </w:r>
    </w:p>
    <w:p w:rsidR="004B4774" w:rsidRDefault="004B4774" w:rsidP="004B4774">
      <w:pPr>
        <w:pStyle w:val="Heading2"/>
        <w:rPr>
          <w:lang w:val="en-US"/>
        </w:rPr>
      </w:pPr>
      <w:bookmarkStart w:id="198" w:name="_Toc495920035"/>
      <w:bookmarkStart w:id="199" w:name="_Toc504464753"/>
      <w:r w:rsidRPr="009C7161">
        <w:rPr>
          <w:lang w:val="en-US"/>
        </w:rPr>
        <w:t>Rate of development</w:t>
      </w:r>
      <w:bookmarkEnd w:id="198"/>
      <w:bookmarkEnd w:id="199"/>
    </w:p>
    <w:p w:rsidR="004B4774" w:rsidRPr="00CD0087" w:rsidRDefault="00B25544" w:rsidP="00A258B5">
      <w:pPr>
        <w:pStyle w:val="ListNumber"/>
      </w:pPr>
      <w:r>
        <w:rPr>
          <w:lang w:val="en-US"/>
        </w:rPr>
        <w:fldChar w:fldCharType="begin"/>
      </w:r>
      <w:r>
        <w:instrText xml:space="preserve"> REF _Ref495668071 \h </w:instrText>
      </w:r>
      <w:r>
        <w:rPr>
          <w:lang w:val="en-US"/>
        </w:rPr>
      </w:r>
      <w:r>
        <w:rPr>
          <w:lang w:val="en-US"/>
        </w:rPr>
        <w:fldChar w:fldCharType="separate"/>
      </w:r>
      <w:r w:rsidRPr="00CD6A54">
        <w:t xml:space="preserve">Table </w:t>
      </w:r>
      <w:r>
        <w:rPr>
          <w:noProof/>
        </w:rPr>
        <w:t>30</w:t>
      </w:r>
      <w:r>
        <w:rPr>
          <w:lang w:val="en-US"/>
        </w:rPr>
        <w:fldChar w:fldCharType="end"/>
      </w:r>
      <w:r w:rsidR="004B4774" w:rsidRPr="0079123B">
        <w:t xml:space="preserve"> </w:t>
      </w:r>
      <w:r w:rsidR="004B4774" w:rsidRPr="00030335">
        <w:t xml:space="preserve">shows the </w:t>
      </w:r>
      <w:r w:rsidR="004B4774" w:rsidRPr="00381CDC">
        <w:t>net housing completions to 31 March 2016</w:t>
      </w:r>
      <w:r w:rsidR="004B4774">
        <w:t xml:space="preserve"> in </w:t>
      </w:r>
      <w:r w:rsidR="004B4774" w:rsidRPr="00381CDC">
        <w:t>West Wittering and Chichester City</w:t>
      </w:r>
      <w:r w:rsidR="004B4774">
        <w:t>. The data shows there was an important increase in housing completions in 2015/2016 as 90% of the total net completions since 2012 were built over this period. This rate of development shows that actual supply is in line with planned supply.</w:t>
      </w:r>
    </w:p>
    <w:p w:rsidR="004B4774" w:rsidRPr="00CD6A54" w:rsidRDefault="004B4774" w:rsidP="004B4774">
      <w:pPr>
        <w:pStyle w:val="Caption"/>
        <w:rPr>
          <w:b w:val="0"/>
          <w:bCs w:val="0"/>
        </w:rPr>
      </w:pPr>
      <w:bookmarkStart w:id="200" w:name="_Ref495668071"/>
      <w:bookmarkStart w:id="201" w:name="_Toc488669626"/>
      <w:bookmarkStart w:id="202" w:name="_Toc495920060"/>
      <w:r w:rsidRPr="00CD6A54">
        <w:t xml:space="preserve">Table </w:t>
      </w:r>
      <w:r w:rsidRPr="005D578D">
        <w:fldChar w:fldCharType="begin"/>
      </w:r>
      <w:r w:rsidRPr="00CD6A54">
        <w:instrText xml:space="preserve"> SEQ Table \* ARABIC </w:instrText>
      </w:r>
      <w:r w:rsidRPr="005D578D">
        <w:fldChar w:fldCharType="separate"/>
      </w:r>
      <w:r w:rsidR="00B25544">
        <w:rPr>
          <w:noProof/>
        </w:rPr>
        <w:t>30</w:t>
      </w:r>
      <w:r w:rsidRPr="005D578D">
        <w:fldChar w:fldCharType="end"/>
      </w:r>
      <w:bookmarkEnd w:id="200"/>
      <w:r w:rsidRPr="00CD6A54">
        <w:t xml:space="preserve">: </w:t>
      </w:r>
      <w:bookmarkEnd w:id="201"/>
      <w:r>
        <w:t>West Wittering and Chichester City net housing completions to 31 March 2016</w:t>
      </w:r>
      <w:bookmarkEnd w:id="202"/>
    </w:p>
    <w:tbl>
      <w:tblPr>
        <w:tblStyle w:val="TableGrid"/>
        <w:tblW w:w="0" w:type="auto"/>
        <w:tblLayout w:type="fixed"/>
        <w:tblLook w:val="04A0" w:firstRow="1" w:lastRow="0" w:firstColumn="1" w:lastColumn="0" w:noHBand="0" w:noVBand="1"/>
      </w:tblPr>
      <w:tblGrid>
        <w:gridCol w:w="2042"/>
        <w:gridCol w:w="1559"/>
        <w:gridCol w:w="1559"/>
        <w:gridCol w:w="1559"/>
        <w:gridCol w:w="1560"/>
      </w:tblGrid>
      <w:tr w:rsidR="004B4774" w:rsidRPr="00FD2D2F" w:rsidTr="009A5A02">
        <w:trPr>
          <w:cnfStyle w:val="100000000000" w:firstRow="1" w:lastRow="0" w:firstColumn="0" w:lastColumn="0" w:oddVBand="0" w:evenVBand="0" w:oddHBand="0" w:evenHBand="0" w:firstRowFirstColumn="0" w:firstRowLastColumn="0" w:lastRowFirstColumn="0" w:lastRowLastColumn="0"/>
          <w:trHeight w:val="359"/>
        </w:trPr>
        <w:tc>
          <w:tcPr>
            <w:tcW w:w="2042" w:type="dxa"/>
            <w:shd w:val="clear" w:color="auto" w:fill="000000" w:themeFill="text1"/>
            <w:noWrap/>
            <w:hideMark/>
          </w:tcPr>
          <w:p w:rsidR="004B4774" w:rsidRPr="00097B36" w:rsidRDefault="004B4774" w:rsidP="009A5A02">
            <w:pPr>
              <w:ind w:firstLine="720"/>
              <w:rPr>
                <w:rFonts w:ascii="Arial" w:eastAsia="Times New Roman" w:hAnsi="Arial" w:cs="Arial"/>
                <w:b/>
                <w:bCs/>
                <w:color w:val="FFFFFF" w:themeColor="background1"/>
                <w:sz w:val="18"/>
                <w:lang w:eastAsia="en-GB"/>
              </w:rPr>
            </w:pPr>
          </w:p>
        </w:tc>
        <w:tc>
          <w:tcPr>
            <w:tcW w:w="1559" w:type="dxa"/>
            <w:shd w:val="clear" w:color="auto" w:fill="000000" w:themeFill="text1"/>
            <w:noWrap/>
            <w:hideMark/>
          </w:tcPr>
          <w:p w:rsidR="004B4774" w:rsidRPr="00837BAF" w:rsidRDefault="004B4774" w:rsidP="009A5A02">
            <w:pPr>
              <w:jc w:val="center"/>
              <w:rPr>
                <w:rFonts w:ascii="Arial" w:eastAsia="Times New Roman" w:hAnsi="Arial" w:cs="Arial"/>
                <w:b/>
                <w:bCs/>
                <w:color w:val="FFFFFF" w:themeColor="background1"/>
                <w:sz w:val="18"/>
                <w:lang w:eastAsia="en-GB"/>
              </w:rPr>
            </w:pPr>
            <w:r w:rsidRPr="00837BAF">
              <w:rPr>
                <w:b/>
              </w:rPr>
              <w:t>Number of homes planned to 2029</w:t>
            </w:r>
          </w:p>
        </w:tc>
        <w:tc>
          <w:tcPr>
            <w:tcW w:w="1559" w:type="dxa"/>
            <w:shd w:val="clear" w:color="auto" w:fill="000000" w:themeFill="text1"/>
            <w:noWrap/>
            <w:hideMark/>
          </w:tcPr>
          <w:p w:rsidR="004B4774" w:rsidRPr="00837BAF" w:rsidRDefault="004B4774" w:rsidP="009A5A02">
            <w:pPr>
              <w:jc w:val="center"/>
              <w:rPr>
                <w:rFonts w:ascii="Arial" w:eastAsia="Times New Roman" w:hAnsi="Arial" w:cs="Arial"/>
                <w:b/>
                <w:bCs/>
                <w:color w:val="FFFFFF" w:themeColor="background1"/>
                <w:sz w:val="18"/>
                <w:lang w:eastAsia="en-GB"/>
              </w:rPr>
            </w:pPr>
            <w:r w:rsidRPr="00837BAF">
              <w:rPr>
                <w:b/>
              </w:rPr>
              <w:t>Net housing completions 2015/16</w:t>
            </w:r>
          </w:p>
        </w:tc>
        <w:tc>
          <w:tcPr>
            <w:tcW w:w="1559" w:type="dxa"/>
            <w:shd w:val="clear" w:color="auto" w:fill="000000" w:themeFill="text1"/>
            <w:noWrap/>
            <w:hideMark/>
          </w:tcPr>
          <w:p w:rsidR="004B4774" w:rsidRPr="00837BAF" w:rsidRDefault="004B4774" w:rsidP="009A5A02">
            <w:pPr>
              <w:jc w:val="center"/>
              <w:rPr>
                <w:rFonts w:ascii="Arial" w:eastAsia="Times New Roman" w:hAnsi="Arial" w:cs="Arial"/>
                <w:b/>
                <w:bCs/>
                <w:color w:val="FFFFFF" w:themeColor="background1"/>
                <w:sz w:val="18"/>
                <w:lang w:eastAsia="en-GB"/>
              </w:rPr>
            </w:pPr>
            <w:r w:rsidRPr="00837BAF">
              <w:rPr>
                <w:b/>
              </w:rPr>
              <w:t>Total net completions since 1 April 2012</w:t>
            </w:r>
          </w:p>
        </w:tc>
        <w:tc>
          <w:tcPr>
            <w:tcW w:w="1560" w:type="dxa"/>
            <w:shd w:val="clear" w:color="auto" w:fill="000000" w:themeFill="text1"/>
            <w:noWrap/>
            <w:hideMark/>
          </w:tcPr>
          <w:p w:rsidR="004B4774" w:rsidRPr="00837BAF" w:rsidRDefault="004B4774" w:rsidP="009A5A02">
            <w:pPr>
              <w:jc w:val="center"/>
              <w:rPr>
                <w:rFonts w:ascii="Arial" w:eastAsia="Times New Roman" w:hAnsi="Arial" w:cs="Arial"/>
                <w:b/>
                <w:bCs/>
                <w:color w:val="FFFFFF" w:themeColor="background1"/>
                <w:sz w:val="18"/>
                <w:lang w:eastAsia="en-GB"/>
              </w:rPr>
            </w:pPr>
            <w:r>
              <w:rPr>
                <w:b/>
              </w:rPr>
              <w:t xml:space="preserve">Remaining </w:t>
            </w:r>
            <w:r w:rsidR="005F5CF8">
              <w:rPr>
                <w:b/>
              </w:rPr>
              <w:t>Parish</w:t>
            </w:r>
            <w:r>
              <w:rPr>
                <w:b/>
              </w:rPr>
              <w:t xml:space="preserve"> </w:t>
            </w:r>
            <w:r w:rsidRPr="00837BAF">
              <w:rPr>
                <w:b/>
              </w:rPr>
              <w:t>housing yet to be delivered</w:t>
            </w:r>
          </w:p>
        </w:tc>
      </w:tr>
      <w:tr w:rsidR="004B4774" w:rsidRPr="00FD2D2F" w:rsidTr="009A5A02">
        <w:trPr>
          <w:trHeight w:val="359"/>
        </w:trPr>
        <w:tc>
          <w:tcPr>
            <w:tcW w:w="2042" w:type="dxa"/>
            <w:shd w:val="clear" w:color="auto" w:fill="D9D9D9" w:themeFill="background1" w:themeFillShade="D9"/>
            <w:noWrap/>
            <w:hideMark/>
          </w:tcPr>
          <w:p w:rsidR="004B4774" w:rsidRPr="00FD2D2F" w:rsidRDefault="004B4774" w:rsidP="009A5A02">
            <w:pPr>
              <w:rPr>
                <w:rFonts w:ascii="Arial" w:eastAsia="Times New Roman" w:hAnsi="Arial" w:cs="Arial"/>
                <w:sz w:val="18"/>
                <w:lang w:eastAsia="en-GB"/>
              </w:rPr>
            </w:pPr>
            <w:r>
              <w:rPr>
                <w:rFonts w:ascii="Arial" w:eastAsia="Times New Roman" w:hAnsi="Arial" w:cs="Arial"/>
                <w:sz w:val="18"/>
                <w:lang w:eastAsia="en-GB"/>
              </w:rPr>
              <w:t>West Wittering</w:t>
            </w:r>
          </w:p>
        </w:tc>
        <w:tc>
          <w:tcPr>
            <w:tcW w:w="1559" w:type="dxa"/>
            <w:noWrap/>
          </w:tcPr>
          <w:p w:rsidR="004B4774" w:rsidRPr="00FD2D2F" w:rsidRDefault="004B4774" w:rsidP="009A5A02">
            <w:pPr>
              <w:jc w:val="center"/>
              <w:rPr>
                <w:rFonts w:ascii="Arial" w:eastAsia="Times New Roman" w:hAnsi="Arial" w:cs="Arial"/>
                <w:sz w:val="18"/>
                <w:lang w:eastAsia="en-GB"/>
              </w:rPr>
            </w:pPr>
            <w:r w:rsidRPr="00324624">
              <w:rPr>
                <w:rFonts w:ascii="Arial" w:eastAsia="Times New Roman" w:hAnsi="Arial" w:cs="Arial"/>
                <w:sz w:val="18"/>
                <w:lang w:eastAsia="en-GB"/>
              </w:rPr>
              <w:t>50</w:t>
            </w:r>
          </w:p>
        </w:tc>
        <w:tc>
          <w:tcPr>
            <w:tcW w:w="1559" w:type="dxa"/>
            <w:noWrap/>
          </w:tcPr>
          <w:p w:rsidR="004B4774" w:rsidRPr="00FD2D2F" w:rsidRDefault="004B4774" w:rsidP="009A5A02">
            <w:pPr>
              <w:jc w:val="center"/>
              <w:rPr>
                <w:rFonts w:ascii="Arial" w:eastAsia="Times New Roman" w:hAnsi="Arial" w:cs="Arial"/>
                <w:sz w:val="18"/>
                <w:lang w:eastAsia="en-GB"/>
              </w:rPr>
            </w:pPr>
            <w:r w:rsidRPr="00324624">
              <w:rPr>
                <w:rFonts w:ascii="Arial" w:eastAsia="Times New Roman" w:hAnsi="Arial" w:cs="Arial"/>
                <w:sz w:val="18"/>
                <w:lang w:eastAsia="en-GB"/>
              </w:rPr>
              <w:t>45</w:t>
            </w:r>
          </w:p>
        </w:tc>
        <w:tc>
          <w:tcPr>
            <w:tcW w:w="1559" w:type="dxa"/>
            <w:noWrap/>
          </w:tcPr>
          <w:p w:rsidR="004B4774" w:rsidRPr="00FD2D2F" w:rsidRDefault="004B4774" w:rsidP="009A5A02">
            <w:pPr>
              <w:jc w:val="center"/>
              <w:rPr>
                <w:rFonts w:ascii="Arial" w:eastAsia="Times New Roman" w:hAnsi="Arial" w:cs="Arial"/>
                <w:sz w:val="18"/>
                <w:lang w:eastAsia="en-GB"/>
              </w:rPr>
            </w:pPr>
            <w:r w:rsidRPr="00324624">
              <w:rPr>
                <w:rFonts w:ascii="Arial" w:eastAsia="Times New Roman" w:hAnsi="Arial" w:cs="Arial"/>
                <w:sz w:val="18"/>
                <w:lang w:eastAsia="en-GB"/>
              </w:rPr>
              <w:t>50</w:t>
            </w:r>
          </w:p>
        </w:tc>
        <w:tc>
          <w:tcPr>
            <w:tcW w:w="1560" w:type="dxa"/>
            <w:noWrap/>
          </w:tcPr>
          <w:p w:rsidR="004B4774" w:rsidRPr="00FD2D2F" w:rsidRDefault="004B4774" w:rsidP="009A5A02">
            <w:pPr>
              <w:jc w:val="center"/>
              <w:rPr>
                <w:rFonts w:ascii="Arial" w:eastAsia="Times New Roman" w:hAnsi="Arial" w:cs="Arial"/>
                <w:sz w:val="18"/>
                <w:lang w:eastAsia="en-GB"/>
              </w:rPr>
            </w:pPr>
            <w:r w:rsidRPr="00324624">
              <w:rPr>
                <w:rFonts w:ascii="Arial" w:eastAsia="Times New Roman" w:hAnsi="Arial" w:cs="Arial"/>
                <w:sz w:val="18"/>
                <w:lang w:eastAsia="en-GB"/>
              </w:rPr>
              <w:t>0</w:t>
            </w:r>
          </w:p>
        </w:tc>
      </w:tr>
      <w:tr w:rsidR="004B4774" w:rsidRPr="00FD2D2F" w:rsidTr="009A5A02">
        <w:trPr>
          <w:trHeight w:val="359"/>
        </w:trPr>
        <w:tc>
          <w:tcPr>
            <w:tcW w:w="2042" w:type="dxa"/>
            <w:shd w:val="clear" w:color="auto" w:fill="D9D9D9" w:themeFill="background1" w:themeFillShade="D9"/>
            <w:noWrap/>
          </w:tcPr>
          <w:p w:rsidR="004B4774" w:rsidRDefault="004B4774" w:rsidP="009A5A02">
            <w:pPr>
              <w:rPr>
                <w:rFonts w:ascii="Arial" w:eastAsia="Times New Roman" w:hAnsi="Arial" w:cs="Arial"/>
                <w:lang w:eastAsia="en-GB"/>
              </w:rPr>
            </w:pPr>
            <w:r w:rsidRPr="007D4CC6">
              <w:rPr>
                <w:rFonts w:ascii="Arial" w:eastAsia="Times New Roman" w:hAnsi="Arial" w:cs="Arial"/>
                <w:sz w:val="18"/>
                <w:lang w:eastAsia="en-GB"/>
              </w:rPr>
              <w:t>Chichester city</w:t>
            </w:r>
          </w:p>
        </w:tc>
        <w:tc>
          <w:tcPr>
            <w:tcW w:w="1559" w:type="dxa"/>
            <w:noWrap/>
          </w:tcPr>
          <w:p w:rsidR="004B4774" w:rsidRPr="00324624" w:rsidRDefault="004B4774" w:rsidP="009A5A02">
            <w:pPr>
              <w:jc w:val="center"/>
              <w:rPr>
                <w:rFonts w:ascii="Arial" w:eastAsia="Times New Roman" w:hAnsi="Arial" w:cs="Arial"/>
                <w:sz w:val="18"/>
                <w:lang w:eastAsia="en-GB"/>
              </w:rPr>
            </w:pPr>
            <w:r w:rsidRPr="00324624">
              <w:rPr>
                <w:rFonts w:ascii="Arial" w:eastAsia="Times New Roman" w:hAnsi="Arial" w:cs="Arial"/>
                <w:sz w:val="18"/>
                <w:lang w:eastAsia="en-GB"/>
              </w:rPr>
              <w:t>235</w:t>
            </w:r>
          </w:p>
        </w:tc>
        <w:tc>
          <w:tcPr>
            <w:tcW w:w="1559" w:type="dxa"/>
            <w:noWrap/>
          </w:tcPr>
          <w:p w:rsidR="004B4774" w:rsidRPr="00324624" w:rsidRDefault="004B4774" w:rsidP="009A5A02">
            <w:pPr>
              <w:jc w:val="center"/>
              <w:rPr>
                <w:rFonts w:ascii="Arial" w:eastAsia="Times New Roman" w:hAnsi="Arial" w:cs="Arial"/>
                <w:sz w:val="18"/>
                <w:lang w:eastAsia="en-GB"/>
              </w:rPr>
            </w:pPr>
            <w:r w:rsidRPr="00324624">
              <w:rPr>
                <w:rFonts w:ascii="Arial" w:eastAsia="Times New Roman" w:hAnsi="Arial" w:cs="Arial"/>
                <w:sz w:val="18"/>
                <w:lang w:eastAsia="en-GB"/>
              </w:rPr>
              <w:t>8</w:t>
            </w:r>
          </w:p>
        </w:tc>
        <w:tc>
          <w:tcPr>
            <w:tcW w:w="1559" w:type="dxa"/>
            <w:noWrap/>
          </w:tcPr>
          <w:p w:rsidR="004B4774" w:rsidRPr="00324624" w:rsidRDefault="004B4774" w:rsidP="009A5A02">
            <w:pPr>
              <w:jc w:val="center"/>
              <w:rPr>
                <w:rFonts w:ascii="Arial" w:eastAsia="Times New Roman" w:hAnsi="Arial" w:cs="Arial"/>
                <w:sz w:val="18"/>
                <w:lang w:eastAsia="en-GB"/>
              </w:rPr>
            </w:pPr>
            <w:r w:rsidRPr="00324624">
              <w:rPr>
                <w:rFonts w:ascii="Arial" w:eastAsia="Times New Roman" w:hAnsi="Arial" w:cs="Arial"/>
                <w:sz w:val="18"/>
                <w:lang w:eastAsia="en-GB"/>
              </w:rPr>
              <w:t>17</w:t>
            </w:r>
          </w:p>
        </w:tc>
        <w:tc>
          <w:tcPr>
            <w:tcW w:w="1560" w:type="dxa"/>
            <w:noWrap/>
          </w:tcPr>
          <w:p w:rsidR="004B4774" w:rsidRPr="00324624" w:rsidRDefault="004B4774" w:rsidP="009A5A02">
            <w:pPr>
              <w:jc w:val="center"/>
              <w:rPr>
                <w:rFonts w:ascii="Arial" w:eastAsia="Times New Roman" w:hAnsi="Arial" w:cs="Arial"/>
                <w:sz w:val="18"/>
                <w:lang w:eastAsia="en-GB"/>
              </w:rPr>
            </w:pPr>
            <w:r w:rsidRPr="00324624">
              <w:rPr>
                <w:rFonts w:ascii="Arial" w:eastAsia="Times New Roman" w:hAnsi="Arial" w:cs="Arial"/>
                <w:sz w:val="18"/>
                <w:lang w:eastAsia="en-GB"/>
              </w:rPr>
              <w:t>218</w:t>
            </w:r>
          </w:p>
        </w:tc>
      </w:tr>
    </w:tbl>
    <w:p w:rsidR="004B4774" w:rsidRDefault="004B4774" w:rsidP="004B4774">
      <w:pPr>
        <w:pStyle w:val="Source"/>
      </w:pPr>
      <w:r w:rsidRPr="00FD2D2F">
        <w:t xml:space="preserve">Source: </w:t>
      </w:r>
      <w:r>
        <w:t xml:space="preserve">Chichester </w:t>
      </w:r>
      <w:r w:rsidR="005F5CF8">
        <w:t>District</w:t>
      </w:r>
      <w:r>
        <w:t xml:space="preserve"> Council Authority’s Monitoring Report 2015-2016</w:t>
      </w:r>
    </w:p>
    <w:p w:rsidR="004B4774" w:rsidRPr="00DA352E" w:rsidRDefault="00B25544" w:rsidP="00A258B5">
      <w:pPr>
        <w:pStyle w:val="ListNumber"/>
      </w:pPr>
      <w:r>
        <w:t>In F</w:t>
      </w:r>
      <w:r w:rsidR="00A258B5">
        <w:t>igure 11</w:t>
      </w:r>
      <w:r w:rsidR="004B4774" w:rsidRPr="00DA352E">
        <w:t xml:space="preserve"> below we </w:t>
      </w:r>
      <w:r>
        <w:t>reproduce F</w:t>
      </w:r>
      <w:r w:rsidR="004B4774">
        <w:t xml:space="preserve">igure 2 from the local authority’s Housing Monitoring Report; this confirms the finding set out in the previous paragraph that, broadly speaking, the </w:t>
      </w:r>
      <w:r w:rsidR="005F5CF8">
        <w:t>District</w:t>
      </w:r>
      <w:r w:rsidR="004B4774">
        <w:t xml:space="preserve"> is has been able to make good progress in meeting its housing supply targets.  </w:t>
      </w:r>
    </w:p>
    <w:p w:rsidR="00A258B5" w:rsidRDefault="00A258B5" w:rsidP="00A258B5">
      <w:pPr>
        <w:pStyle w:val="Caption"/>
      </w:pPr>
      <w:r>
        <w:t xml:space="preserve">Figure </w:t>
      </w:r>
      <w:fldSimple w:instr=" SEQ Figure \* ARABIC ">
        <w:r>
          <w:rPr>
            <w:noProof/>
          </w:rPr>
          <w:t>11</w:t>
        </w:r>
      </w:fldSimple>
      <w:r>
        <w:t>: Actual/projected housing completions against Local Plan housing target 2012-2029</w:t>
      </w:r>
    </w:p>
    <w:p w:rsidR="004B4774" w:rsidRDefault="004B4774" w:rsidP="004B4774">
      <w:pPr>
        <w:rPr>
          <w:lang w:val="en-US"/>
        </w:rPr>
      </w:pPr>
      <w:r>
        <w:rPr>
          <w:noProof/>
          <w:lang w:eastAsia="en-GB"/>
        </w:rPr>
        <w:drawing>
          <wp:inline distT="0" distB="0" distL="0" distR="0" wp14:anchorId="1BB28412" wp14:editId="2A816602">
            <wp:extent cx="5731510" cy="2558415"/>
            <wp:effectExtent l="0" t="0" r="254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using completions.PNG"/>
                    <pic:cNvPicPr/>
                  </pic:nvPicPr>
                  <pic:blipFill>
                    <a:blip r:embed="rId30">
                      <a:extLst>
                        <a:ext uri="{28A0092B-C50C-407E-A947-70E740481C1C}">
                          <a14:useLocalDpi xmlns:a14="http://schemas.microsoft.com/office/drawing/2010/main" val="0"/>
                        </a:ext>
                      </a:extLst>
                    </a:blip>
                    <a:stretch>
                      <a:fillRect/>
                    </a:stretch>
                  </pic:blipFill>
                  <pic:spPr>
                    <a:xfrm>
                      <a:off x="0" y="0"/>
                      <a:ext cx="5731510" cy="2558415"/>
                    </a:xfrm>
                    <a:prstGeom prst="rect">
                      <a:avLst/>
                    </a:prstGeom>
                  </pic:spPr>
                </pic:pic>
              </a:graphicData>
            </a:graphic>
          </wp:inline>
        </w:drawing>
      </w:r>
    </w:p>
    <w:p w:rsidR="004B4774" w:rsidRPr="003C5AC4" w:rsidRDefault="004B4774" w:rsidP="004B4774">
      <w:pPr>
        <w:pStyle w:val="Source"/>
      </w:pPr>
      <w:r w:rsidRPr="00FD2D2F">
        <w:t>Source:</w:t>
      </w:r>
      <w:r>
        <w:t xml:space="preserve"> Chichester </w:t>
      </w:r>
      <w:r w:rsidR="005F5CF8">
        <w:t>District</w:t>
      </w:r>
      <w:r>
        <w:t xml:space="preserve"> Council Authority’s Monitoring Report 2015-2016, p.47</w:t>
      </w:r>
    </w:p>
    <w:p w:rsidR="00A258B5" w:rsidRDefault="00A258B5">
      <w:pPr>
        <w:tabs>
          <w:tab w:val="clear" w:pos="284"/>
        </w:tabs>
        <w:spacing w:line="240" w:lineRule="auto"/>
        <w:rPr>
          <w:lang w:val="en-US"/>
        </w:rPr>
      </w:pPr>
    </w:p>
    <w:p w:rsidR="00E80CC8" w:rsidRPr="00B90B1C" w:rsidRDefault="00E80CC8" w:rsidP="00B90B1C">
      <w:pPr>
        <w:pStyle w:val="Heading1"/>
        <w:rPr>
          <w:lang w:val="en-US"/>
        </w:rPr>
      </w:pPr>
      <w:bookmarkStart w:id="203" w:name="_Toc425332020"/>
      <w:bookmarkStart w:id="204" w:name="_Toc461696227"/>
      <w:bookmarkStart w:id="205" w:name="_Toc504464754"/>
      <w:r w:rsidRPr="00B90B1C">
        <w:rPr>
          <w:lang w:val="en-US"/>
        </w:rPr>
        <w:lastRenderedPageBreak/>
        <w:t>Conclusions</w:t>
      </w:r>
      <w:bookmarkEnd w:id="203"/>
      <w:bookmarkEnd w:id="204"/>
      <w:bookmarkEnd w:id="205"/>
    </w:p>
    <w:p w:rsidR="00E80CC8" w:rsidRPr="00B90B1C" w:rsidRDefault="00E80CC8" w:rsidP="00B90B1C">
      <w:pPr>
        <w:pStyle w:val="Heading2"/>
      </w:pPr>
      <w:bookmarkStart w:id="206" w:name="_Toc445878370"/>
      <w:bookmarkStart w:id="207" w:name="_Toc461696228"/>
      <w:bookmarkStart w:id="208" w:name="_Toc504464755"/>
      <w:bookmarkStart w:id="209" w:name="_Toc425332021"/>
      <w:r w:rsidRPr="00B90B1C">
        <w:rPr>
          <w:lang w:val="en-US"/>
        </w:rPr>
        <w:t>Overview</w:t>
      </w:r>
      <w:bookmarkEnd w:id="206"/>
      <w:bookmarkEnd w:id="207"/>
      <w:bookmarkEnd w:id="208"/>
    </w:p>
    <w:p w:rsidR="00B25544" w:rsidRDefault="00B25544" w:rsidP="00B25544">
      <w:pPr>
        <w:pStyle w:val="Caption"/>
      </w:pPr>
      <w:r>
        <w:t xml:space="preserve">Table </w:t>
      </w:r>
      <w:r w:rsidR="008D2376">
        <w:fldChar w:fldCharType="begin"/>
      </w:r>
      <w:r w:rsidR="008D2376">
        <w:instrText xml:space="preserve"> SEQ Table \* ARABIC </w:instrText>
      </w:r>
      <w:r w:rsidR="008D2376">
        <w:fldChar w:fldCharType="separate"/>
      </w:r>
      <w:r>
        <w:rPr>
          <w:noProof/>
        </w:rPr>
        <w:t>31</w:t>
      </w:r>
      <w:r w:rsidR="008D2376">
        <w:rPr>
          <w:noProof/>
        </w:rPr>
        <w:fldChar w:fldCharType="end"/>
      </w:r>
      <w:r>
        <w:t xml:space="preserve">: </w:t>
      </w:r>
      <w:r w:rsidRPr="004130CF">
        <w:t>Summary of factors specific to West Wittering with a potential impact on neighbourhood plan housing quantity</w:t>
      </w:r>
    </w:p>
    <w:tbl>
      <w:tblPr>
        <w:tblW w:w="990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4A0" w:firstRow="1" w:lastRow="0" w:firstColumn="1" w:lastColumn="0" w:noHBand="0" w:noVBand="1"/>
      </w:tblPr>
      <w:tblGrid>
        <w:gridCol w:w="1676"/>
        <w:gridCol w:w="1702"/>
        <w:gridCol w:w="1975"/>
        <w:gridCol w:w="4547"/>
      </w:tblGrid>
      <w:tr w:rsidR="005F5CF8" w:rsidRPr="008042E5" w:rsidTr="009144D7">
        <w:trPr>
          <w:tblHeader/>
        </w:trPr>
        <w:tc>
          <w:tcPr>
            <w:tcW w:w="1676" w:type="dxa"/>
            <w:shd w:val="clear" w:color="auto" w:fill="000000" w:themeFill="text1"/>
            <w:hideMark/>
          </w:tcPr>
          <w:p w:rsidR="005F5CF8" w:rsidRPr="00E82A91" w:rsidRDefault="005F5CF8" w:rsidP="009144D7">
            <w:pPr>
              <w:pStyle w:val="BodyText"/>
              <w:rPr>
                <w:bCs/>
              </w:rPr>
            </w:pPr>
            <w:r w:rsidRPr="00E82A91">
              <w:rPr>
                <w:bCs/>
              </w:rPr>
              <w:t>Factor</w:t>
            </w:r>
          </w:p>
        </w:tc>
        <w:tc>
          <w:tcPr>
            <w:tcW w:w="1702" w:type="dxa"/>
            <w:shd w:val="clear" w:color="auto" w:fill="000000" w:themeFill="text1"/>
            <w:hideMark/>
          </w:tcPr>
          <w:p w:rsidR="005F5CF8" w:rsidRPr="00E82A91" w:rsidRDefault="005F5CF8" w:rsidP="009144D7">
            <w:pPr>
              <w:pStyle w:val="BodyText"/>
              <w:rPr>
                <w:bCs/>
              </w:rPr>
            </w:pPr>
            <w:r>
              <w:rPr>
                <w:bCs/>
              </w:rPr>
              <w:t>Source(s) (see Chapter 5</w:t>
            </w:r>
            <w:r w:rsidRPr="00E82A91">
              <w:rPr>
                <w:bCs/>
              </w:rPr>
              <w:t>)</w:t>
            </w:r>
          </w:p>
        </w:tc>
        <w:tc>
          <w:tcPr>
            <w:tcW w:w="1975" w:type="dxa"/>
            <w:shd w:val="clear" w:color="auto" w:fill="000000" w:themeFill="text1"/>
            <w:hideMark/>
          </w:tcPr>
          <w:p w:rsidR="005F5CF8" w:rsidRPr="00E82A91" w:rsidRDefault="005F5CF8" w:rsidP="009144D7">
            <w:pPr>
              <w:pStyle w:val="BodyText"/>
              <w:rPr>
                <w:bCs/>
              </w:rPr>
            </w:pPr>
            <w:r w:rsidRPr="00E82A91">
              <w:rPr>
                <w:bCs/>
              </w:rPr>
              <w:t>Possible impact on housing needed</w:t>
            </w:r>
          </w:p>
        </w:tc>
        <w:tc>
          <w:tcPr>
            <w:tcW w:w="4547" w:type="dxa"/>
            <w:shd w:val="clear" w:color="auto" w:fill="000000" w:themeFill="text1"/>
          </w:tcPr>
          <w:p w:rsidR="005F5CF8" w:rsidRPr="00E82A91" w:rsidRDefault="005F5CF8" w:rsidP="009144D7">
            <w:pPr>
              <w:pStyle w:val="BodyText"/>
              <w:rPr>
                <w:bCs/>
              </w:rPr>
            </w:pPr>
            <w:r w:rsidRPr="00E82A91">
              <w:rPr>
                <w:bCs/>
              </w:rPr>
              <w:t>Conclusion</w:t>
            </w:r>
          </w:p>
          <w:p w:rsidR="005F5CF8" w:rsidRPr="00E82A91" w:rsidRDefault="005F5CF8" w:rsidP="009144D7">
            <w:pPr>
              <w:pStyle w:val="BodyText"/>
              <w:rPr>
                <w:bCs/>
              </w:rPr>
            </w:pPr>
          </w:p>
        </w:tc>
      </w:tr>
      <w:tr w:rsidR="005F5CF8" w:rsidRPr="008042E5" w:rsidTr="009144D7">
        <w:tc>
          <w:tcPr>
            <w:tcW w:w="167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rsidR="005F5CF8" w:rsidRPr="008042E5" w:rsidRDefault="005F5CF8" w:rsidP="009144D7">
            <w:pPr>
              <w:pStyle w:val="BodyText"/>
              <w:rPr>
                <w:b/>
                <w:bCs/>
                <w:highlight w:val="yellow"/>
              </w:rPr>
            </w:pPr>
            <w:r w:rsidRPr="00C54D45">
              <w:rPr>
                <w:rFonts w:asciiTheme="majorHAnsi" w:hAnsiTheme="majorHAnsi" w:cstheme="majorHAnsi"/>
                <w:b/>
                <w:szCs w:val="24"/>
              </w:rPr>
              <w:t>Employment trends</w:t>
            </w:r>
          </w:p>
        </w:tc>
        <w:tc>
          <w:tcPr>
            <w:tcW w:w="1702"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rsidR="005F5CF8" w:rsidRPr="00635315" w:rsidRDefault="005F5CF8" w:rsidP="009144D7">
            <w:pPr>
              <w:pStyle w:val="BodyText"/>
              <w:rPr>
                <w:highlight w:val="yellow"/>
              </w:rPr>
            </w:pPr>
            <w:r w:rsidRPr="00A61BFF">
              <w:rPr>
                <w:rFonts w:asciiTheme="majorHAnsi" w:hAnsiTheme="majorHAnsi" w:cstheme="majorHAnsi"/>
                <w:szCs w:val="24"/>
              </w:rPr>
              <w:t xml:space="preserve">LEPSEP, CLP, Census 2001/11 </w:t>
            </w:r>
          </w:p>
        </w:tc>
        <w:tc>
          <w:tcPr>
            <w:tcW w:w="197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rsidR="005F5CF8" w:rsidRPr="008042E5" w:rsidRDefault="005F5CF8" w:rsidP="009144D7">
            <w:pPr>
              <w:pStyle w:val="BodyText"/>
              <w:jc w:val="center"/>
              <w:rPr>
                <w:highlight w:val="yellow"/>
              </w:rPr>
            </w:pPr>
            <w:r w:rsidRPr="00C54D45">
              <w:rPr>
                <w:rFonts w:asciiTheme="majorHAnsi" w:hAnsiTheme="majorHAnsi" w:cstheme="majorHAnsi"/>
                <w:sz w:val="96"/>
                <w:szCs w:val="96"/>
              </w:rPr>
              <w:sym w:font="Symbol" w:char="F0AD"/>
            </w:r>
            <w:r w:rsidRPr="00C54D45">
              <w:rPr>
                <w:rFonts w:asciiTheme="majorHAnsi" w:hAnsiTheme="majorHAnsi" w:cstheme="majorHAnsi"/>
                <w:sz w:val="96"/>
                <w:szCs w:val="96"/>
              </w:rPr>
              <w:sym w:font="Symbol" w:char="F0AD"/>
            </w:r>
          </w:p>
        </w:tc>
        <w:tc>
          <w:tcPr>
            <w:tcW w:w="454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rsidR="005F5CF8" w:rsidRDefault="005F5CF8" w:rsidP="009144D7">
            <w:pPr>
              <w:pStyle w:val="BodyText"/>
              <w:rPr>
                <w:rFonts w:cstheme="minorHAnsi"/>
                <w:szCs w:val="24"/>
              </w:rPr>
            </w:pPr>
            <w:r w:rsidRPr="00EB08F4">
              <w:rPr>
                <w:rFonts w:cstheme="minorHAnsi"/>
                <w:szCs w:val="24"/>
              </w:rPr>
              <w:t xml:space="preserve">The wider economic area has been shown to have numerous global and competitive companies across a wide </w:t>
            </w:r>
            <w:r w:rsidRPr="001505F0">
              <w:rPr>
                <w:rFonts w:cstheme="minorHAnsi"/>
                <w:szCs w:val="24"/>
              </w:rPr>
              <w:t xml:space="preserve">range of sectors, with a potential for growth. </w:t>
            </w:r>
          </w:p>
          <w:p w:rsidR="005F5CF8" w:rsidRPr="00C8146C" w:rsidRDefault="005F5CF8" w:rsidP="009144D7">
            <w:pPr>
              <w:pStyle w:val="BodyText"/>
              <w:rPr>
                <w:rFonts w:cstheme="minorHAnsi"/>
                <w:highlight w:val="yellow"/>
              </w:rPr>
            </w:pPr>
            <w:r w:rsidRPr="001505F0">
              <w:rPr>
                <w:rFonts w:cstheme="minorHAnsi"/>
                <w:szCs w:val="24"/>
              </w:rPr>
              <w:t xml:space="preserve">Furthermore, future investment in transport infrastructure has been </w:t>
            </w:r>
            <w:r w:rsidRPr="00120488">
              <w:rPr>
                <w:rFonts w:cstheme="minorHAnsi"/>
                <w:szCs w:val="24"/>
              </w:rPr>
              <w:t xml:space="preserve">shown to have a likely impact on West Wittering in terms of demand for housing, as is potential growth in intrinsic </w:t>
            </w:r>
            <w:r>
              <w:rPr>
                <w:rFonts w:cstheme="minorHAnsi"/>
                <w:szCs w:val="24"/>
              </w:rPr>
              <w:t>businesses based inside the NPA</w:t>
            </w:r>
            <w:r w:rsidRPr="00120488">
              <w:rPr>
                <w:rFonts w:cstheme="minorHAnsi"/>
                <w:szCs w:val="24"/>
              </w:rPr>
              <w:t>. Therefore two</w:t>
            </w:r>
            <w:r>
              <w:rPr>
                <w:rFonts w:cstheme="minorHAnsi"/>
                <w:szCs w:val="24"/>
              </w:rPr>
              <w:t xml:space="preserve"> up arrows have</w:t>
            </w:r>
            <w:r w:rsidRPr="001505F0">
              <w:rPr>
                <w:rFonts w:cstheme="minorHAnsi"/>
                <w:szCs w:val="24"/>
              </w:rPr>
              <w:t xml:space="preserve"> been deemed appropriate. </w:t>
            </w:r>
          </w:p>
        </w:tc>
      </w:tr>
      <w:tr w:rsidR="005F5CF8" w:rsidRPr="008042E5" w:rsidTr="009144D7">
        <w:trPr>
          <w:trHeight w:val="501"/>
        </w:trPr>
        <w:tc>
          <w:tcPr>
            <w:tcW w:w="167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rsidR="005F5CF8" w:rsidRPr="008042E5" w:rsidRDefault="005F5CF8" w:rsidP="009144D7">
            <w:pPr>
              <w:pStyle w:val="BodyText"/>
              <w:rPr>
                <w:b/>
                <w:bCs/>
                <w:highlight w:val="yellow"/>
              </w:rPr>
            </w:pPr>
            <w:r w:rsidRPr="00C54D45">
              <w:rPr>
                <w:rFonts w:asciiTheme="majorHAnsi" w:hAnsiTheme="majorHAnsi" w:cstheme="majorHAnsi"/>
                <w:b/>
                <w:szCs w:val="24"/>
              </w:rPr>
              <w:t>Housing transactions (</w:t>
            </w:r>
            <w:r>
              <w:rPr>
                <w:rFonts w:asciiTheme="majorHAnsi" w:hAnsiTheme="majorHAnsi" w:cstheme="majorHAnsi"/>
                <w:b/>
                <w:szCs w:val="24"/>
              </w:rPr>
              <w:t>p</w:t>
            </w:r>
            <w:r w:rsidRPr="00C54D45">
              <w:rPr>
                <w:rFonts w:asciiTheme="majorHAnsi" w:hAnsiTheme="majorHAnsi" w:cstheme="majorHAnsi"/>
                <w:b/>
                <w:szCs w:val="24"/>
              </w:rPr>
              <w:t>rices)</w:t>
            </w:r>
          </w:p>
        </w:tc>
        <w:tc>
          <w:tcPr>
            <w:tcW w:w="1702"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rsidR="005F5CF8" w:rsidRPr="00635315" w:rsidRDefault="005F5CF8" w:rsidP="009144D7">
            <w:pPr>
              <w:pStyle w:val="BodyText"/>
              <w:rPr>
                <w:highlight w:val="yellow"/>
              </w:rPr>
            </w:pPr>
            <w:r w:rsidRPr="00A61BFF">
              <w:rPr>
                <w:rFonts w:asciiTheme="majorHAnsi" w:hAnsiTheme="majorHAnsi" w:cstheme="majorHAnsi"/>
                <w:szCs w:val="24"/>
              </w:rPr>
              <w:t>PPG, Land Registry Price Paid Data for  2007-2016, SHMA</w:t>
            </w:r>
          </w:p>
        </w:tc>
        <w:tc>
          <w:tcPr>
            <w:tcW w:w="197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rsidR="005F5CF8" w:rsidRPr="008042E5" w:rsidRDefault="005F5CF8" w:rsidP="009144D7">
            <w:pPr>
              <w:pStyle w:val="BodyText"/>
              <w:jc w:val="center"/>
              <w:rPr>
                <w:highlight w:val="yellow"/>
              </w:rPr>
            </w:pPr>
            <w:r w:rsidRPr="00C54D45">
              <w:rPr>
                <w:rFonts w:asciiTheme="majorHAnsi" w:hAnsiTheme="majorHAnsi" w:cstheme="majorHAnsi"/>
                <w:sz w:val="96"/>
                <w:szCs w:val="96"/>
              </w:rPr>
              <w:sym w:font="Symbol" w:char="F0AD"/>
            </w:r>
            <w:r w:rsidRPr="00C54D45">
              <w:rPr>
                <w:rFonts w:asciiTheme="majorHAnsi" w:hAnsiTheme="majorHAnsi" w:cstheme="majorHAnsi"/>
                <w:sz w:val="96"/>
                <w:szCs w:val="96"/>
              </w:rPr>
              <w:sym w:font="Symbol" w:char="F0AD"/>
            </w:r>
          </w:p>
        </w:tc>
        <w:tc>
          <w:tcPr>
            <w:tcW w:w="454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rsidR="005F5CF8" w:rsidRDefault="005F5CF8" w:rsidP="009144D7">
            <w:pPr>
              <w:pStyle w:val="BodyText"/>
              <w:rPr>
                <w:rFonts w:cstheme="minorHAnsi"/>
                <w:szCs w:val="24"/>
              </w:rPr>
            </w:pPr>
            <w:r w:rsidRPr="007044A9">
              <w:rPr>
                <w:rFonts w:cstheme="minorHAnsi"/>
                <w:szCs w:val="24"/>
              </w:rPr>
              <w:t>The West Wittering NPA has bee</w:t>
            </w:r>
            <w:r>
              <w:rPr>
                <w:rFonts w:cstheme="minorHAnsi"/>
                <w:szCs w:val="24"/>
              </w:rPr>
              <w:t>n shown to have experienced an 18</w:t>
            </w:r>
            <w:r w:rsidRPr="007044A9">
              <w:rPr>
                <w:rFonts w:cstheme="minorHAnsi"/>
                <w:szCs w:val="24"/>
              </w:rPr>
              <w:t xml:space="preserve">% increase in price paid for properties of all types over a ten year </w:t>
            </w:r>
            <w:r w:rsidRPr="004E0BA1">
              <w:rPr>
                <w:rFonts w:cstheme="minorHAnsi"/>
                <w:szCs w:val="24"/>
              </w:rPr>
              <w:t xml:space="preserve">period. </w:t>
            </w:r>
          </w:p>
          <w:p w:rsidR="005F5CF8" w:rsidRPr="00C8146C" w:rsidRDefault="005F5CF8" w:rsidP="009144D7">
            <w:pPr>
              <w:pStyle w:val="BodyText"/>
              <w:rPr>
                <w:rFonts w:cstheme="minorHAnsi"/>
                <w:highlight w:val="yellow"/>
              </w:rPr>
            </w:pPr>
            <w:r w:rsidRPr="004E0BA1">
              <w:rPr>
                <w:rFonts w:cstheme="minorHAnsi"/>
                <w:szCs w:val="24"/>
              </w:rPr>
              <w:t>The price paid varies per ho</w:t>
            </w:r>
            <w:r w:rsidRPr="00094F58">
              <w:rPr>
                <w:rFonts w:cstheme="minorHAnsi"/>
                <w:szCs w:val="24"/>
              </w:rPr>
              <w:t>using typ</w:t>
            </w:r>
            <w:r>
              <w:rPr>
                <w:rFonts w:cstheme="minorHAnsi"/>
                <w:szCs w:val="24"/>
              </w:rPr>
              <w:t xml:space="preserve">e (detached, semi-detached, terraced and flats) </w:t>
            </w:r>
            <w:r w:rsidRPr="00B04C58">
              <w:rPr>
                <w:rFonts w:cstheme="minorHAnsi"/>
                <w:szCs w:val="24"/>
              </w:rPr>
              <w:t xml:space="preserve"> </w:t>
            </w:r>
            <w:r w:rsidRPr="00094F58">
              <w:rPr>
                <w:rFonts w:cstheme="minorHAnsi"/>
                <w:szCs w:val="24"/>
              </w:rPr>
              <w:t xml:space="preserve"> but has remained relatively high across all types. Although price growth in West Wittering was less than in the </w:t>
            </w:r>
            <w:r>
              <w:rPr>
                <w:rFonts w:cstheme="minorHAnsi"/>
                <w:szCs w:val="24"/>
              </w:rPr>
              <w:t>District</w:t>
            </w:r>
            <w:r w:rsidRPr="00094F58">
              <w:rPr>
                <w:rFonts w:cstheme="minorHAnsi"/>
                <w:szCs w:val="24"/>
              </w:rPr>
              <w:t xml:space="preserve"> as a whole, this was from a higher base, and therefore, two</w:t>
            </w:r>
            <w:r>
              <w:rPr>
                <w:rFonts w:cstheme="minorHAnsi"/>
                <w:szCs w:val="24"/>
              </w:rPr>
              <w:t xml:space="preserve"> up arrows have</w:t>
            </w:r>
            <w:r w:rsidRPr="00094F58">
              <w:rPr>
                <w:rFonts w:cstheme="minorHAnsi"/>
                <w:szCs w:val="24"/>
              </w:rPr>
              <w:t xml:space="preserve"> been deemed appropriate.</w:t>
            </w:r>
          </w:p>
        </w:tc>
      </w:tr>
      <w:tr w:rsidR="005F5CF8" w:rsidRPr="008042E5" w:rsidTr="009144D7">
        <w:tc>
          <w:tcPr>
            <w:tcW w:w="167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rsidR="005F5CF8" w:rsidRPr="008042E5" w:rsidRDefault="005F5CF8" w:rsidP="009144D7">
            <w:pPr>
              <w:pStyle w:val="BodyText"/>
              <w:rPr>
                <w:b/>
                <w:bCs/>
                <w:highlight w:val="yellow"/>
              </w:rPr>
            </w:pPr>
            <w:r w:rsidRPr="00C54D45">
              <w:rPr>
                <w:rFonts w:asciiTheme="majorHAnsi" w:hAnsiTheme="majorHAnsi" w:cstheme="majorHAnsi"/>
                <w:b/>
                <w:szCs w:val="24"/>
              </w:rPr>
              <w:t>Housing Transactions (</w:t>
            </w:r>
            <w:r>
              <w:rPr>
                <w:rFonts w:asciiTheme="majorHAnsi" w:hAnsiTheme="majorHAnsi" w:cstheme="majorHAnsi"/>
                <w:b/>
                <w:szCs w:val="24"/>
              </w:rPr>
              <w:t>v</w:t>
            </w:r>
            <w:r w:rsidRPr="00C54D45">
              <w:rPr>
                <w:rFonts w:asciiTheme="majorHAnsi" w:hAnsiTheme="majorHAnsi" w:cstheme="majorHAnsi"/>
                <w:b/>
                <w:szCs w:val="24"/>
              </w:rPr>
              <w:t>olume)</w:t>
            </w:r>
          </w:p>
        </w:tc>
        <w:tc>
          <w:tcPr>
            <w:tcW w:w="1702"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rsidR="005F5CF8" w:rsidRPr="00635315" w:rsidRDefault="005F5CF8" w:rsidP="009144D7">
            <w:pPr>
              <w:pStyle w:val="BodyText"/>
              <w:rPr>
                <w:highlight w:val="yellow"/>
              </w:rPr>
            </w:pPr>
            <w:r w:rsidRPr="00A61BFF">
              <w:rPr>
                <w:rFonts w:asciiTheme="majorHAnsi" w:hAnsiTheme="majorHAnsi" w:cstheme="majorHAnsi"/>
                <w:szCs w:val="24"/>
              </w:rPr>
              <w:t>Land Registry Price Paid Data for  2007-201</w:t>
            </w:r>
            <w:r>
              <w:rPr>
                <w:rFonts w:asciiTheme="majorHAnsi" w:hAnsiTheme="majorHAnsi" w:cstheme="majorHAnsi"/>
                <w:szCs w:val="24"/>
              </w:rPr>
              <w:t>6, Census 2001/2011 data, SHMA</w:t>
            </w:r>
          </w:p>
        </w:tc>
        <w:tc>
          <w:tcPr>
            <w:tcW w:w="197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rsidR="005F5CF8" w:rsidRPr="008042E5" w:rsidRDefault="005F5CF8" w:rsidP="009144D7">
            <w:pPr>
              <w:pStyle w:val="BodyText"/>
              <w:jc w:val="center"/>
              <w:rPr>
                <w:highlight w:val="yellow"/>
              </w:rPr>
            </w:pPr>
            <w:r w:rsidRPr="00C54D45">
              <w:rPr>
                <w:rFonts w:asciiTheme="majorHAnsi" w:hAnsiTheme="majorHAnsi" w:cstheme="majorHAnsi"/>
                <w:sz w:val="96"/>
                <w:szCs w:val="96"/>
              </w:rPr>
              <w:sym w:font="Symbol" w:char="F0AD"/>
            </w:r>
          </w:p>
        </w:tc>
        <w:tc>
          <w:tcPr>
            <w:tcW w:w="454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rsidR="005F5CF8" w:rsidRPr="00C8146C" w:rsidRDefault="00381A26" w:rsidP="009144D7">
            <w:pPr>
              <w:pStyle w:val="BodyText"/>
              <w:rPr>
                <w:rFonts w:cstheme="minorHAnsi"/>
                <w:highlight w:val="yellow"/>
              </w:rPr>
            </w:pPr>
            <w:r w:rsidRPr="00381A26">
              <w:rPr>
                <w:color w:val="000000" w:themeColor="text1"/>
              </w:rPr>
              <w:t xml:space="preserve">The evidence gathered suggests there is a high demand in the NPA for semi-detached housing relative to supply (the number of sales of semi-detached dwellings as a proportion of all sales </w:t>
            </w:r>
            <w:proofErr w:type="gramStart"/>
            <w:r w:rsidRPr="00381A26">
              <w:rPr>
                <w:color w:val="000000" w:themeColor="text1"/>
              </w:rPr>
              <w:t>exceeds</w:t>
            </w:r>
            <w:proofErr w:type="gramEnd"/>
            <w:r w:rsidRPr="00381A26">
              <w:rPr>
                <w:color w:val="000000" w:themeColor="text1"/>
              </w:rPr>
              <w:t xml:space="preserve"> the proportion they represent of the housing stock). This ‘high demand’ scenario justifies one up arrow.</w:t>
            </w:r>
          </w:p>
        </w:tc>
      </w:tr>
      <w:tr w:rsidR="005F5CF8" w:rsidRPr="008042E5" w:rsidTr="009144D7">
        <w:tc>
          <w:tcPr>
            <w:tcW w:w="167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rsidR="005F5CF8" w:rsidRPr="008042E5" w:rsidRDefault="005F5CF8" w:rsidP="009144D7">
            <w:pPr>
              <w:pStyle w:val="BodyText"/>
              <w:rPr>
                <w:b/>
                <w:bCs/>
                <w:highlight w:val="yellow"/>
              </w:rPr>
            </w:pPr>
            <w:r w:rsidRPr="00C54D45">
              <w:rPr>
                <w:rFonts w:asciiTheme="majorHAnsi" w:hAnsiTheme="majorHAnsi" w:cstheme="majorHAnsi"/>
                <w:b/>
                <w:szCs w:val="24"/>
              </w:rPr>
              <w:t xml:space="preserve">Migration </w:t>
            </w:r>
          </w:p>
        </w:tc>
        <w:tc>
          <w:tcPr>
            <w:tcW w:w="1702"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rsidR="005F5CF8" w:rsidRPr="001F4E29" w:rsidRDefault="00B25544" w:rsidP="009144D7">
            <w:pPr>
              <w:pStyle w:val="BodyText"/>
            </w:pPr>
            <w:r>
              <w:rPr>
                <w:rFonts w:asciiTheme="majorHAnsi" w:hAnsiTheme="majorHAnsi" w:cstheme="majorHAnsi"/>
                <w:szCs w:val="24"/>
              </w:rPr>
              <w:t>Census data 2001/</w:t>
            </w:r>
            <w:r w:rsidR="005F5CF8" w:rsidRPr="001F4E29">
              <w:rPr>
                <w:rFonts w:asciiTheme="majorHAnsi" w:hAnsiTheme="majorHAnsi" w:cstheme="majorHAnsi"/>
                <w:szCs w:val="24"/>
              </w:rPr>
              <w:t>2011</w:t>
            </w:r>
          </w:p>
        </w:tc>
        <w:tc>
          <w:tcPr>
            <w:tcW w:w="197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rsidR="005F5CF8" w:rsidRPr="008042E5" w:rsidRDefault="005F5CF8" w:rsidP="009144D7">
            <w:pPr>
              <w:pStyle w:val="BodyText"/>
              <w:jc w:val="center"/>
              <w:rPr>
                <w:highlight w:val="yellow"/>
              </w:rPr>
            </w:pPr>
            <w:r w:rsidRPr="00C54D45">
              <w:rPr>
                <w:rFonts w:asciiTheme="majorHAnsi" w:eastAsia="Times New Roman" w:hAnsiTheme="majorHAnsi" w:cstheme="majorHAnsi"/>
                <w:kern w:val="0"/>
                <w:sz w:val="96"/>
                <w:szCs w:val="96"/>
              </w:rPr>
              <w:sym w:font="Symbol" w:char="F0AB"/>
            </w:r>
          </w:p>
        </w:tc>
        <w:tc>
          <w:tcPr>
            <w:tcW w:w="454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rsidR="005F5CF8" w:rsidRPr="00C8146C" w:rsidRDefault="005F5CF8" w:rsidP="009144D7">
            <w:pPr>
              <w:pStyle w:val="BodyText"/>
              <w:rPr>
                <w:rFonts w:cstheme="minorHAnsi"/>
                <w:highlight w:val="yellow"/>
              </w:rPr>
            </w:pPr>
            <w:r w:rsidRPr="00AA3389">
              <w:rPr>
                <w:rFonts w:cstheme="minorHAnsi"/>
                <w:szCs w:val="24"/>
              </w:rPr>
              <w:t>Migration is not seen as</w:t>
            </w:r>
            <w:r>
              <w:rPr>
                <w:rFonts w:cstheme="minorHAnsi"/>
                <w:szCs w:val="24"/>
              </w:rPr>
              <w:t xml:space="preserve"> a</w:t>
            </w:r>
            <w:r w:rsidRPr="00AA3389">
              <w:rPr>
                <w:rFonts w:cstheme="minorHAnsi"/>
                <w:szCs w:val="24"/>
              </w:rPr>
              <w:t xml:space="preserve"> significant factor in determining housing need given that just 22% of the 6.1% of West Wittering residents born outside of the UK arrived in the last 10 years. </w:t>
            </w:r>
          </w:p>
        </w:tc>
      </w:tr>
      <w:tr w:rsidR="005F5CF8" w:rsidRPr="008042E5" w:rsidTr="009144D7">
        <w:tc>
          <w:tcPr>
            <w:tcW w:w="167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rsidR="005F5CF8" w:rsidRPr="008042E5" w:rsidRDefault="005F5CF8" w:rsidP="009144D7">
            <w:pPr>
              <w:pStyle w:val="BodyText"/>
              <w:rPr>
                <w:b/>
                <w:bCs/>
                <w:highlight w:val="yellow"/>
              </w:rPr>
            </w:pPr>
            <w:r w:rsidRPr="00C54D45">
              <w:rPr>
                <w:rFonts w:asciiTheme="majorHAnsi" w:hAnsiTheme="majorHAnsi" w:cstheme="majorHAnsi"/>
                <w:b/>
                <w:szCs w:val="24"/>
              </w:rPr>
              <w:t xml:space="preserve">Overcrowding and concealment </w:t>
            </w:r>
          </w:p>
        </w:tc>
        <w:tc>
          <w:tcPr>
            <w:tcW w:w="1702"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rsidR="005F5CF8" w:rsidRPr="001F4E29" w:rsidRDefault="005F5CF8" w:rsidP="009144D7">
            <w:pPr>
              <w:pStyle w:val="BodyText"/>
            </w:pPr>
            <w:r w:rsidRPr="001F4E29">
              <w:rPr>
                <w:rFonts w:asciiTheme="majorHAnsi" w:hAnsiTheme="majorHAnsi" w:cstheme="majorHAnsi"/>
                <w:szCs w:val="24"/>
              </w:rPr>
              <w:t>Census Data 2</w:t>
            </w:r>
            <w:r w:rsidR="00B25544">
              <w:rPr>
                <w:rFonts w:asciiTheme="majorHAnsi" w:hAnsiTheme="majorHAnsi" w:cstheme="majorHAnsi"/>
                <w:szCs w:val="24"/>
              </w:rPr>
              <w:t>001/</w:t>
            </w:r>
            <w:r w:rsidRPr="001F4E29">
              <w:rPr>
                <w:rFonts w:asciiTheme="majorHAnsi" w:hAnsiTheme="majorHAnsi" w:cstheme="majorHAnsi"/>
                <w:szCs w:val="24"/>
              </w:rPr>
              <w:t>2011</w:t>
            </w:r>
          </w:p>
        </w:tc>
        <w:tc>
          <w:tcPr>
            <w:tcW w:w="197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rsidR="005F5CF8" w:rsidRPr="008042E5" w:rsidRDefault="005F5CF8" w:rsidP="009144D7">
            <w:pPr>
              <w:pStyle w:val="BodyText"/>
              <w:jc w:val="center"/>
              <w:rPr>
                <w:highlight w:val="yellow"/>
              </w:rPr>
            </w:pPr>
            <w:r w:rsidRPr="00C54D45">
              <w:rPr>
                <w:rFonts w:asciiTheme="majorHAnsi" w:eastAsia="Times New Roman" w:hAnsiTheme="majorHAnsi" w:cstheme="majorHAnsi"/>
                <w:kern w:val="0"/>
                <w:sz w:val="96"/>
                <w:szCs w:val="96"/>
              </w:rPr>
              <w:sym w:font="Symbol" w:char="F0AB"/>
            </w:r>
          </w:p>
        </w:tc>
        <w:tc>
          <w:tcPr>
            <w:tcW w:w="454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rsidR="005F5CF8" w:rsidRPr="00C8146C" w:rsidRDefault="005F5CF8" w:rsidP="009144D7">
            <w:pPr>
              <w:pStyle w:val="BodyText"/>
              <w:rPr>
                <w:rFonts w:cstheme="minorHAnsi"/>
                <w:highlight w:val="yellow"/>
              </w:rPr>
            </w:pPr>
            <w:r w:rsidRPr="00F02B4F">
              <w:rPr>
                <w:rFonts w:cstheme="minorHAnsi"/>
                <w:szCs w:val="24"/>
              </w:rPr>
              <w:t xml:space="preserve">There is no evidence of overcrowding in West Wittering and although there is some evidence of concealed families, these are not deemed particularly significant given the levels seen in Chichester </w:t>
            </w:r>
            <w:r>
              <w:rPr>
                <w:rFonts w:cstheme="minorHAnsi"/>
                <w:szCs w:val="24"/>
              </w:rPr>
              <w:t>District</w:t>
            </w:r>
            <w:r w:rsidRPr="00F02B4F">
              <w:rPr>
                <w:rFonts w:cstheme="minorHAnsi"/>
                <w:szCs w:val="24"/>
              </w:rPr>
              <w:t xml:space="preserve"> as a whole. </w:t>
            </w:r>
          </w:p>
        </w:tc>
      </w:tr>
      <w:tr w:rsidR="005F5CF8" w:rsidRPr="008042E5" w:rsidTr="009144D7">
        <w:tc>
          <w:tcPr>
            <w:tcW w:w="167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rsidR="005F5CF8" w:rsidRPr="008042E5" w:rsidRDefault="005F5CF8" w:rsidP="009144D7">
            <w:pPr>
              <w:pStyle w:val="BodyText"/>
              <w:rPr>
                <w:b/>
                <w:bCs/>
                <w:highlight w:val="yellow"/>
              </w:rPr>
            </w:pPr>
            <w:r w:rsidRPr="00C54D45">
              <w:rPr>
                <w:rFonts w:asciiTheme="majorHAnsi" w:hAnsiTheme="majorHAnsi" w:cstheme="majorHAnsi"/>
                <w:b/>
                <w:szCs w:val="24"/>
              </w:rPr>
              <w:t>Rate of development</w:t>
            </w:r>
          </w:p>
        </w:tc>
        <w:tc>
          <w:tcPr>
            <w:tcW w:w="1702"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rsidR="005F5CF8" w:rsidRPr="00635315" w:rsidRDefault="005F5CF8" w:rsidP="009144D7">
            <w:pPr>
              <w:pStyle w:val="BodyText"/>
              <w:rPr>
                <w:bCs/>
                <w:highlight w:val="yellow"/>
              </w:rPr>
            </w:pPr>
            <w:r w:rsidRPr="001F4E29">
              <w:t xml:space="preserve">Chichester </w:t>
            </w:r>
            <w:r>
              <w:t>District</w:t>
            </w:r>
            <w:r w:rsidRPr="001F4E29">
              <w:t xml:space="preserve"> Council Authority’s Monitoring Report 2015-2016</w:t>
            </w:r>
            <w:r w:rsidRPr="001F4E29">
              <w:rPr>
                <w:rFonts w:asciiTheme="majorHAnsi" w:hAnsiTheme="majorHAnsi" w:cstheme="majorHAnsi"/>
                <w:szCs w:val="24"/>
              </w:rPr>
              <w:t>, SHMA</w:t>
            </w:r>
          </w:p>
        </w:tc>
        <w:tc>
          <w:tcPr>
            <w:tcW w:w="197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rsidR="005F5CF8" w:rsidRPr="008042E5" w:rsidRDefault="005F5CF8" w:rsidP="009144D7">
            <w:pPr>
              <w:pStyle w:val="BodyText"/>
              <w:jc w:val="center"/>
              <w:rPr>
                <w:bCs/>
                <w:highlight w:val="yellow"/>
              </w:rPr>
            </w:pPr>
            <w:r w:rsidRPr="00C54D45">
              <w:rPr>
                <w:rFonts w:asciiTheme="majorHAnsi" w:eastAsia="Times New Roman" w:hAnsiTheme="majorHAnsi" w:cstheme="majorHAnsi"/>
                <w:kern w:val="0"/>
                <w:sz w:val="96"/>
                <w:szCs w:val="96"/>
              </w:rPr>
              <w:sym w:font="Symbol" w:char="F0AB"/>
            </w:r>
          </w:p>
        </w:tc>
        <w:tc>
          <w:tcPr>
            <w:tcW w:w="454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rsidR="005F5CF8" w:rsidRPr="00C8146C" w:rsidRDefault="005F5CF8" w:rsidP="009144D7">
            <w:pPr>
              <w:pStyle w:val="BodyText"/>
              <w:rPr>
                <w:rFonts w:cstheme="minorHAnsi"/>
                <w:highlight w:val="yellow"/>
                <w:lang w:val="en-US"/>
              </w:rPr>
            </w:pPr>
            <w:r>
              <w:rPr>
                <w:rFonts w:cstheme="minorHAnsi"/>
                <w:szCs w:val="24"/>
              </w:rPr>
              <w:t xml:space="preserve">Chichester District has consistently met, or exceeded its housing target in recent years. Furthermore, </w:t>
            </w:r>
            <w:r>
              <w:t>the</w:t>
            </w:r>
            <w:r w:rsidRPr="00604333">
              <w:rPr>
                <w:rFonts w:cstheme="minorHAnsi"/>
                <w:szCs w:val="24"/>
              </w:rPr>
              <w:t xml:space="preserve"> rate of development </w:t>
            </w:r>
            <w:r>
              <w:rPr>
                <w:rFonts w:cstheme="minorHAnsi"/>
                <w:szCs w:val="24"/>
              </w:rPr>
              <w:t xml:space="preserve">in West </w:t>
            </w:r>
            <w:r w:rsidRPr="00444DB9">
              <w:rPr>
                <w:rFonts w:cstheme="minorHAnsi"/>
                <w:szCs w:val="24"/>
              </w:rPr>
              <w:t>Wittering shows that actual supply is in line with planned supply. Therefore it is reasonable to suggest that the rate of development indicates there is only a small potential for future under</w:t>
            </w:r>
            <w:r>
              <w:rPr>
                <w:rFonts w:cstheme="minorHAnsi"/>
                <w:szCs w:val="24"/>
              </w:rPr>
              <w:t>-</w:t>
            </w:r>
            <w:r w:rsidRPr="00444DB9">
              <w:rPr>
                <w:rFonts w:cstheme="minorHAnsi"/>
                <w:szCs w:val="24"/>
              </w:rPr>
              <w:t>delivery and</w:t>
            </w:r>
            <w:r>
              <w:rPr>
                <w:rFonts w:cstheme="minorHAnsi"/>
                <w:szCs w:val="24"/>
              </w:rPr>
              <w:t>,</w:t>
            </w:r>
            <w:r w:rsidRPr="00444DB9">
              <w:rPr>
                <w:rFonts w:cstheme="minorHAnsi"/>
                <w:szCs w:val="24"/>
              </w:rPr>
              <w:t xml:space="preserve"> as such</w:t>
            </w:r>
            <w:r>
              <w:rPr>
                <w:rFonts w:cstheme="minorHAnsi"/>
                <w:szCs w:val="24"/>
              </w:rPr>
              <w:t xml:space="preserve">, a neutral arrow </w:t>
            </w:r>
            <w:r>
              <w:rPr>
                <w:rFonts w:cstheme="minorHAnsi"/>
                <w:szCs w:val="24"/>
              </w:rPr>
              <w:lastRenderedPageBreak/>
              <w:t xml:space="preserve">is considered appropriate. </w:t>
            </w:r>
          </w:p>
        </w:tc>
      </w:tr>
    </w:tbl>
    <w:p w:rsidR="005F5CF8" w:rsidRDefault="005F5CF8" w:rsidP="005F5CF8">
      <w:pPr>
        <w:pStyle w:val="BodyText"/>
        <w:rPr>
          <w:highlight w:val="yellow"/>
        </w:rPr>
      </w:pPr>
    </w:p>
    <w:p w:rsidR="00435EAC" w:rsidRDefault="00435EAC" w:rsidP="00435EAC">
      <w:pPr>
        <w:pStyle w:val="Caption"/>
      </w:pPr>
    </w:p>
    <w:p w:rsidR="00B25544" w:rsidRDefault="00B25544" w:rsidP="00B25544">
      <w:pPr>
        <w:pStyle w:val="Caption"/>
      </w:pPr>
      <w:r>
        <w:t xml:space="preserve">Table </w:t>
      </w:r>
      <w:r w:rsidR="008D2376">
        <w:fldChar w:fldCharType="begin"/>
      </w:r>
      <w:r w:rsidR="008D2376">
        <w:instrText xml:space="preserve"> SEQ Table \* ARABIC </w:instrText>
      </w:r>
      <w:r w:rsidR="008D2376">
        <w:fldChar w:fldCharType="separate"/>
      </w:r>
      <w:r>
        <w:rPr>
          <w:noProof/>
        </w:rPr>
        <w:t>32</w:t>
      </w:r>
      <w:r w:rsidR="008D2376">
        <w:rPr>
          <w:noProof/>
        </w:rPr>
        <w:fldChar w:fldCharType="end"/>
      </w:r>
      <w:r>
        <w:t xml:space="preserve">: </w:t>
      </w:r>
      <w:r w:rsidRPr="00027268">
        <w:t>Summary of local factors specific to West Wittering with a potential impact on neighbourhood plan housing characteristics</w:t>
      </w:r>
    </w:p>
    <w:tbl>
      <w:tblPr>
        <w:tblW w:w="990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4A0" w:firstRow="1" w:lastRow="0" w:firstColumn="1" w:lastColumn="0" w:noHBand="0" w:noVBand="1"/>
      </w:tblPr>
      <w:tblGrid>
        <w:gridCol w:w="1676"/>
        <w:gridCol w:w="1702"/>
        <w:gridCol w:w="3403"/>
        <w:gridCol w:w="3119"/>
      </w:tblGrid>
      <w:tr w:rsidR="00435EAC" w:rsidRPr="00B90B1C" w:rsidTr="009144D7">
        <w:trPr>
          <w:tblHeader/>
        </w:trPr>
        <w:tc>
          <w:tcPr>
            <w:tcW w:w="1676" w:type="dxa"/>
            <w:shd w:val="clear" w:color="auto" w:fill="000000" w:themeFill="text1"/>
            <w:hideMark/>
          </w:tcPr>
          <w:p w:rsidR="00435EAC" w:rsidRPr="00B90B1C" w:rsidRDefault="00435EAC" w:rsidP="009144D7">
            <w:pPr>
              <w:pStyle w:val="BodyText"/>
              <w:rPr>
                <w:bCs/>
              </w:rPr>
            </w:pPr>
            <w:r w:rsidRPr="00B90B1C">
              <w:rPr>
                <w:bCs/>
              </w:rPr>
              <w:t>Factor</w:t>
            </w:r>
          </w:p>
        </w:tc>
        <w:tc>
          <w:tcPr>
            <w:tcW w:w="1702" w:type="dxa"/>
            <w:shd w:val="clear" w:color="auto" w:fill="000000" w:themeFill="text1"/>
            <w:hideMark/>
          </w:tcPr>
          <w:p w:rsidR="00435EAC" w:rsidRPr="00B90B1C" w:rsidRDefault="00435EAC" w:rsidP="009144D7">
            <w:pPr>
              <w:pStyle w:val="BodyText"/>
              <w:rPr>
                <w:bCs/>
              </w:rPr>
            </w:pPr>
            <w:r>
              <w:rPr>
                <w:bCs/>
              </w:rPr>
              <w:t>Source(s) (see Chapter 3</w:t>
            </w:r>
            <w:r w:rsidRPr="00B90B1C">
              <w:rPr>
                <w:bCs/>
              </w:rPr>
              <w:t>)</w:t>
            </w:r>
          </w:p>
        </w:tc>
        <w:tc>
          <w:tcPr>
            <w:tcW w:w="3403" w:type="dxa"/>
            <w:shd w:val="clear" w:color="auto" w:fill="000000" w:themeFill="text1"/>
            <w:hideMark/>
          </w:tcPr>
          <w:p w:rsidR="00435EAC" w:rsidRPr="00B90B1C" w:rsidRDefault="00435EAC" w:rsidP="009144D7">
            <w:pPr>
              <w:pStyle w:val="BodyText"/>
              <w:rPr>
                <w:bCs/>
              </w:rPr>
            </w:pPr>
            <w:r w:rsidRPr="00B90B1C">
              <w:rPr>
                <w:bCs/>
              </w:rPr>
              <w:t>Possible impact on housing needed</w:t>
            </w:r>
          </w:p>
        </w:tc>
        <w:tc>
          <w:tcPr>
            <w:tcW w:w="3119" w:type="dxa"/>
            <w:shd w:val="clear" w:color="auto" w:fill="000000" w:themeFill="text1"/>
          </w:tcPr>
          <w:p w:rsidR="00435EAC" w:rsidRPr="00B90B1C" w:rsidRDefault="00435EAC" w:rsidP="009144D7">
            <w:pPr>
              <w:pStyle w:val="BodyText"/>
              <w:rPr>
                <w:bCs/>
              </w:rPr>
            </w:pPr>
            <w:r w:rsidRPr="00B90B1C">
              <w:rPr>
                <w:bCs/>
              </w:rPr>
              <w:t>Conclusion</w:t>
            </w:r>
          </w:p>
          <w:p w:rsidR="00435EAC" w:rsidRPr="00B90B1C" w:rsidRDefault="00435EAC" w:rsidP="009144D7">
            <w:pPr>
              <w:pStyle w:val="BodyText"/>
              <w:rPr>
                <w:bCs/>
              </w:rPr>
            </w:pPr>
          </w:p>
        </w:tc>
      </w:tr>
      <w:tr w:rsidR="00435EAC" w:rsidRPr="00B90B1C" w:rsidTr="009144D7">
        <w:tc>
          <w:tcPr>
            <w:tcW w:w="167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rsidR="00435EAC" w:rsidRPr="00B90B1C" w:rsidRDefault="00435EAC" w:rsidP="009144D7">
            <w:pPr>
              <w:pStyle w:val="BodyText"/>
              <w:rPr>
                <w:b/>
                <w:bCs/>
              </w:rPr>
            </w:pPr>
            <w:r w:rsidRPr="00B90B1C">
              <w:rPr>
                <w:b/>
                <w:bCs/>
              </w:rPr>
              <w:t>Affordable Housing</w:t>
            </w:r>
            <w:r>
              <w:rPr>
                <w:b/>
                <w:bCs/>
              </w:rPr>
              <w:t xml:space="preserve"> (AH)</w:t>
            </w:r>
          </w:p>
        </w:tc>
        <w:tc>
          <w:tcPr>
            <w:tcW w:w="1702"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rsidR="00435EAC" w:rsidRPr="00B90B1C" w:rsidRDefault="00435EAC" w:rsidP="009144D7">
            <w:pPr>
              <w:pStyle w:val="BodyText"/>
            </w:pPr>
            <w:r>
              <w:t xml:space="preserve">Land Registry price paid data, </w:t>
            </w:r>
            <w:r w:rsidRPr="00BA1D3D">
              <w:t>CWSS12</w:t>
            </w:r>
            <w:r>
              <w:t xml:space="preserve">, </w:t>
            </w:r>
            <w:r w:rsidRPr="00212B9F">
              <w:t>AHDNS14</w:t>
            </w:r>
            <w:r>
              <w:t>, Local Agents survey</w:t>
            </w:r>
          </w:p>
        </w:tc>
        <w:tc>
          <w:tcPr>
            <w:tcW w:w="340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rsidR="00435EAC" w:rsidRPr="004277B5" w:rsidRDefault="00435EAC" w:rsidP="009144D7">
            <w:pPr>
              <w:pStyle w:val="BodyText"/>
              <w:rPr>
                <w:color w:val="000000" w:themeColor="text1"/>
              </w:rPr>
            </w:pPr>
            <w:r w:rsidRPr="004277B5">
              <w:rPr>
                <w:color w:val="000000" w:themeColor="text1"/>
              </w:rPr>
              <w:t xml:space="preserve">According to data presented in CWSS12, 70% of all households in Chichester South </w:t>
            </w:r>
            <w:r>
              <w:rPr>
                <w:color w:val="000000" w:themeColor="text1"/>
              </w:rPr>
              <w:t xml:space="preserve"> (a sub-area of the HMA in which West Wittering is located) </w:t>
            </w:r>
            <w:r w:rsidRPr="004277B5">
              <w:rPr>
                <w:color w:val="000000" w:themeColor="text1"/>
              </w:rPr>
              <w:t>can access private rented housing, and 50% are able to buy an entry-level (two bedroom) dwelling priced at £160,000</w:t>
            </w:r>
            <w:r>
              <w:rPr>
                <w:color w:val="000000" w:themeColor="text1"/>
              </w:rPr>
              <w:t>.</w:t>
            </w:r>
          </w:p>
          <w:p w:rsidR="00435EAC" w:rsidRPr="004277B5" w:rsidRDefault="00435EAC" w:rsidP="009144D7">
            <w:pPr>
              <w:pStyle w:val="BodyText"/>
              <w:rPr>
                <w:color w:val="000000" w:themeColor="text1"/>
              </w:rPr>
            </w:pPr>
            <w:r w:rsidRPr="004277B5">
              <w:rPr>
                <w:color w:val="000000" w:themeColor="text1"/>
              </w:rPr>
              <w:t xml:space="preserve">Local agents reported at the end of 2017 that prices for entry level dwellings </w:t>
            </w:r>
            <w:r>
              <w:rPr>
                <w:color w:val="000000" w:themeColor="text1"/>
              </w:rPr>
              <w:t xml:space="preserve">(two </w:t>
            </w:r>
            <w:proofErr w:type="gramStart"/>
            <w:r>
              <w:rPr>
                <w:color w:val="000000" w:themeColor="text1"/>
              </w:rPr>
              <w:t>bedroom</w:t>
            </w:r>
            <w:proofErr w:type="gramEnd"/>
            <w:r>
              <w:rPr>
                <w:color w:val="000000" w:themeColor="text1"/>
              </w:rPr>
              <w:t xml:space="preserve">) </w:t>
            </w:r>
            <w:r w:rsidRPr="004277B5">
              <w:rPr>
                <w:color w:val="000000" w:themeColor="text1"/>
              </w:rPr>
              <w:t>may be substantially greater than those reported in the CWSS12, and m</w:t>
            </w:r>
            <w:r>
              <w:rPr>
                <w:color w:val="000000" w:themeColor="text1"/>
              </w:rPr>
              <w:t>ay have reached around £280,000.</w:t>
            </w:r>
          </w:p>
          <w:p w:rsidR="00435EAC" w:rsidRPr="004277B5" w:rsidRDefault="00435EAC" w:rsidP="009144D7">
            <w:pPr>
              <w:pStyle w:val="BodyText"/>
              <w:rPr>
                <w:bCs/>
                <w:iCs/>
                <w:color w:val="000000" w:themeColor="text1"/>
                <w:lang w:val="en-US"/>
              </w:rPr>
            </w:pPr>
            <w:r>
              <w:rPr>
                <w:bCs/>
                <w:iCs/>
                <w:color w:val="000000" w:themeColor="text1"/>
                <w:lang w:val="en-US"/>
              </w:rPr>
              <w:t>A Median Affordability R</w:t>
            </w:r>
            <w:r w:rsidRPr="004277B5">
              <w:rPr>
                <w:bCs/>
                <w:iCs/>
                <w:color w:val="000000" w:themeColor="text1"/>
                <w:lang w:val="en-US"/>
              </w:rPr>
              <w:t xml:space="preserve">atio (MAR) of 3.9 is recorded for </w:t>
            </w:r>
            <w:proofErr w:type="spellStart"/>
            <w:r w:rsidRPr="004277B5">
              <w:rPr>
                <w:bCs/>
                <w:iCs/>
                <w:color w:val="000000" w:themeColor="text1"/>
                <w:lang w:val="en-US"/>
              </w:rPr>
              <w:t>Chichester</w:t>
            </w:r>
            <w:proofErr w:type="spellEnd"/>
            <w:r w:rsidRPr="004277B5">
              <w:rPr>
                <w:bCs/>
                <w:iCs/>
                <w:color w:val="000000" w:themeColor="text1"/>
                <w:lang w:val="en-US"/>
              </w:rPr>
              <w:t xml:space="preserve"> South</w:t>
            </w:r>
            <w:r>
              <w:rPr>
                <w:bCs/>
                <w:iCs/>
                <w:color w:val="000000" w:themeColor="text1"/>
                <w:lang w:val="en-US"/>
              </w:rPr>
              <w:t>.</w:t>
            </w:r>
          </w:p>
          <w:p w:rsidR="00435EAC" w:rsidRPr="004277B5" w:rsidRDefault="00435EAC" w:rsidP="009144D7">
            <w:pPr>
              <w:pStyle w:val="BodyText"/>
              <w:rPr>
                <w:bCs/>
                <w:iCs/>
                <w:color w:val="000000" w:themeColor="text1"/>
                <w:lang w:val="en-US"/>
              </w:rPr>
            </w:pPr>
            <w:r w:rsidRPr="004277B5">
              <w:rPr>
                <w:bCs/>
                <w:iCs/>
                <w:color w:val="000000" w:themeColor="text1"/>
                <w:lang w:val="en-US"/>
              </w:rPr>
              <w:t xml:space="preserve">The Lower Quartile Affordability Ratio (LQAR) for </w:t>
            </w:r>
            <w:proofErr w:type="spellStart"/>
            <w:r w:rsidRPr="004277B5">
              <w:rPr>
                <w:bCs/>
                <w:iCs/>
                <w:color w:val="000000" w:themeColor="text1"/>
                <w:lang w:val="en-US"/>
              </w:rPr>
              <w:t>Chi</w:t>
            </w:r>
            <w:r>
              <w:rPr>
                <w:bCs/>
                <w:iCs/>
                <w:color w:val="000000" w:themeColor="text1"/>
                <w:lang w:val="en-US"/>
              </w:rPr>
              <w:t>chester</w:t>
            </w:r>
            <w:proofErr w:type="spellEnd"/>
            <w:r>
              <w:rPr>
                <w:bCs/>
                <w:iCs/>
                <w:color w:val="000000" w:themeColor="text1"/>
                <w:lang w:val="en-US"/>
              </w:rPr>
              <w:t xml:space="preserve"> is reported to be 10.41.</w:t>
            </w:r>
          </w:p>
          <w:p w:rsidR="00435EAC" w:rsidRPr="004277B5" w:rsidRDefault="00435EAC" w:rsidP="009144D7">
            <w:pPr>
              <w:pStyle w:val="BodyText"/>
              <w:rPr>
                <w:color w:val="000000" w:themeColor="text1"/>
              </w:rPr>
            </w:pPr>
            <w:r w:rsidRPr="004277B5">
              <w:rPr>
                <w:bCs/>
                <w:iCs/>
                <w:color w:val="000000" w:themeColor="text1"/>
                <w:lang w:val="en-US"/>
              </w:rPr>
              <w:t xml:space="preserve">Between 2007 and 2016, house prices </w:t>
            </w:r>
            <w:r>
              <w:rPr>
                <w:bCs/>
                <w:iCs/>
                <w:color w:val="000000" w:themeColor="text1"/>
                <w:lang w:val="en-US"/>
              </w:rPr>
              <w:t>were</w:t>
            </w:r>
            <w:r w:rsidRPr="004277B5">
              <w:rPr>
                <w:bCs/>
                <w:iCs/>
                <w:color w:val="000000" w:themeColor="text1"/>
                <w:lang w:val="en-US"/>
              </w:rPr>
              <w:t xml:space="preserve"> reported to have increased by 18% in West </w:t>
            </w:r>
            <w:proofErr w:type="spellStart"/>
            <w:r w:rsidRPr="004277B5">
              <w:rPr>
                <w:bCs/>
                <w:iCs/>
                <w:color w:val="000000" w:themeColor="text1"/>
                <w:lang w:val="en-US"/>
              </w:rPr>
              <w:t>Wittering</w:t>
            </w:r>
            <w:proofErr w:type="spellEnd"/>
            <w:r w:rsidRPr="004277B5">
              <w:rPr>
                <w:bCs/>
                <w:iCs/>
                <w:color w:val="000000" w:themeColor="text1"/>
                <w:lang w:val="en-US"/>
              </w:rPr>
              <w:t>.</w:t>
            </w:r>
          </w:p>
        </w:tc>
        <w:tc>
          <w:tcPr>
            <w:tcW w:w="3119"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rsidR="00435EAC" w:rsidRPr="004277B5" w:rsidRDefault="00435EAC" w:rsidP="009144D7">
            <w:pPr>
              <w:pStyle w:val="ListNumber"/>
              <w:numPr>
                <w:ilvl w:val="0"/>
                <w:numId w:val="0"/>
              </w:numPr>
              <w:rPr>
                <w:bCs/>
                <w:iCs/>
                <w:color w:val="000000" w:themeColor="text1"/>
                <w:lang w:val="en-US"/>
              </w:rPr>
            </w:pPr>
            <w:r w:rsidRPr="004277B5">
              <w:rPr>
                <w:bCs/>
                <w:iCs/>
                <w:color w:val="000000" w:themeColor="text1"/>
                <w:lang w:val="en-US"/>
              </w:rPr>
              <w:t xml:space="preserve">Based on evidence of need drawn from </w:t>
            </w:r>
            <w:proofErr w:type="spellStart"/>
            <w:r w:rsidRPr="004277B5">
              <w:rPr>
                <w:bCs/>
                <w:iCs/>
                <w:color w:val="000000" w:themeColor="text1"/>
                <w:lang w:val="en-US"/>
              </w:rPr>
              <w:t>Chichester’s</w:t>
            </w:r>
            <w:proofErr w:type="spellEnd"/>
            <w:r w:rsidRPr="004277B5">
              <w:rPr>
                <w:bCs/>
                <w:iCs/>
                <w:color w:val="000000" w:themeColor="text1"/>
                <w:lang w:val="en-US"/>
              </w:rPr>
              <w:t xml:space="preserve"> Housing Waiting List Register (that shows </w:t>
            </w:r>
            <w:r>
              <w:rPr>
                <w:bCs/>
                <w:iCs/>
                <w:color w:val="000000" w:themeColor="text1"/>
                <w:lang w:val="en-US"/>
              </w:rPr>
              <w:t>nine</w:t>
            </w:r>
            <w:r w:rsidRPr="004277B5">
              <w:rPr>
                <w:bCs/>
                <w:iCs/>
                <w:color w:val="000000" w:themeColor="text1"/>
                <w:lang w:val="en-US"/>
              </w:rPr>
              <w:t xml:space="preserve"> households expressing an interest in occu</w:t>
            </w:r>
            <w:r>
              <w:rPr>
                <w:bCs/>
                <w:iCs/>
                <w:color w:val="000000" w:themeColor="text1"/>
                <w:lang w:val="en-US"/>
              </w:rPr>
              <w:t xml:space="preserve">pying housing in West </w:t>
            </w:r>
            <w:proofErr w:type="spellStart"/>
            <w:r>
              <w:rPr>
                <w:bCs/>
                <w:iCs/>
                <w:color w:val="000000" w:themeColor="text1"/>
                <w:lang w:val="en-US"/>
              </w:rPr>
              <w:t>Wittering</w:t>
            </w:r>
            <w:proofErr w:type="spellEnd"/>
            <w:r>
              <w:rPr>
                <w:bCs/>
                <w:iCs/>
                <w:color w:val="000000" w:themeColor="text1"/>
                <w:lang w:val="en-US"/>
              </w:rPr>
              <w:t>),</w:t>
            </w:r>
            <w:r w:rsidRPr="004277B5">
              <w:rPr>
                <w:bCs/>
                <w:iCs/>
                <w:color w:val="000000" w:themeColor="text1"/>
                <w:lang w:val="en-US"/>
              </w:rPr>
              <w:t xml:space="preserve"> there is no basis on which to seek a different proportion of affordable housing from </w:t>
            </w:r>
            <w:r>
              <w:rPr>
                <w:bCs/>
                <w:iCs/>
                <w:color w:val="000000" w:themeColor="text1"/>
                <w:lang w:val="en-US"/>
              </w:rPr>
              <w:t xml:space="preserve">new residential </w:t>
            </w:r>
            <w:r w:rsidRPr="004277B5">
              <w:rPr>
                <w:bCs/>
                <w:iCs/>
                <w:color w:val="000000" w:themeColor="text1"/>
                <w:lang w:val="en-US"/>
              </w:rPr>
              <w:t xml:space="preserve">development </w:t>
            </w:r>
            <w:r>
              <w:rPr>
                <w:bCs/>
                <w:iCs/>
                <w:color w:val="000000" w:themeColor="text1"/>
                <w:lang w:val="en-US"/>
              </w:rPr>
              <w:t>coming forward over the Plan period than Policy 34 of CLP.</w:t>
            </w:r>
            <w:r w:rsidRPr="004277B5">
              <w:rPr>
                <w:bCs/>
                <w:iCs/>
                <w:color w:val="000000" w:themeColor="text1"/>
                <w:lang w:val="en-US"/>
              </w:rPr>
              <w:t xml:space="preserve"> </w:t>
            </w:r>
          </w:p>
          <w:p w:rsidR="00435EAC" w:rsidRPr="004277B5" w:rsidRDefault="00435EAC" w:rsidP="009144D7">
            <w:pPr>
              <w:pStyle w:val="ListNumber"/>
              <w:numPr>
                <w:ilvl w:val="0"/>
                <w:numId w:val="0"/>
              </w:numPr>
              <w:rPr>
                <w:bCs/>
                <w:iCs/>
                <w:color w:val="000000" w:themeColor="text1"/>
                <w:lang w:val="en-US"/>
              </w:rPr>
            </w:pPr>
            <w:r w:rsidRPr="004277B5">
              <w:rPr>
                <w:bCs/>
                <w:iCs/>
                <w:color w:val="000000" w:themeColor="text1"/>
                <w:lang w:val="en-US"/>
              </w:rPr>
              <w:t xml:space="preserve">However, given </w:t>
            </w:r>
            <w:r>
              <w:rPr>
                <w:bCs/>
                <w:iCs/>
                <w:color w:val="000000" w:themeColor="text1"/>
                <w:lang w:val="en-US"/>
              </w:rPr>
              <w:t xml:space="preserve">that </w:t>
            </w:r>
            <w:r w:rsidRPr="004277B5">
              <w:rPr>
                <w:bCs/>
                <w:iCs/>
                <w:color w:val="000000" w:themeColor="text1"/>
                <w:lang w:val="en-US"/>
              </w:rPr>
              <w:t xml:space="preserve">the waiting list may under-report need and the conclusions in this study relating to affordability of housing </w:t>
            </w:r>
            <w:r>
              <w:rPr>
                <w:bCs/>
                <w:iCs/>
                <w:color w:val="000000" w:themeColor="text1"/>
                <w:lang w:val="en-US"/>
              </w:rPr>
              <w:t xml:space="preserve">to those </w:t>
            </w:r>
            <w:r w:rsidRPr="004277B5">
              <w:rPr>
                <w:bCs/>
                <w:iCs/>
                <w:color w:val="000000" w:themeColor="text1"/>
                <w:lang w:val="en-US"/>
              </w:rPr>
              <w:t>on low incomes, WWPC should adopt an assertive attitude regard</w:t>
            </w:r>
            <w:r>
              <w:rPr>
                <w:bCs/>
                <w:iCs/>
                <w:color w:val="000000" w:themeColor="text1"/>
                <w:lang w:val="en-US"/>
              </w:rPr>
              <w:t>ing</w:t>
            </w:r>
            <w:r w:rsidRPr="004277B5">
              <w:rPr>
                <w:bCs/>
                <w:iCs/>
                <w:color w:val="000000" w:themeColor="text1"/>
                <w:lang w:val="en-US"/>
              </w:rPr>
              <w:t xml:space="preserve"> the </w:t>
            </w:r>
            <w:r>
              <w:rPr>
                <w:bCs/>
                <w:iCs/>
                <w:color w:val="000000" w:themeColor="text1"/>
                <w:lang w:val="en-US"/>
              </w:rPr>
              <w:t>delivery of affordable housing.</w:t>
            </w:r>
            <w:r w:rsidRPr="004277B5">
              <w:rPr>
                <w:bCs/>
                <w:iCs/>
                <w:color w:val="000000" w:themeColor="text1"/>
                <w:lang w:val="en-US"/>
              </w:rPr>
              <w:t xml:space="preserve"> </w:t>
            </w:r>
          </w:p>
          <w:p w:rsidR="00435EAC" w:rsidRPr="004277B5" w:rsidRDefault="00435EAC" w:rsidP="009144D7">
            <w:pPr>
              <w:pStyle w:val="BodyText"/>
              <w:rPr>
                <w:color w:val="000000" w:themeColor="text1"/>
              </w:rPr>
            </w:pPr>
            <w:r w:rsidRPr="004277B5">
              <w:rPr>
                <w:color w:val="000000" w:themeColor="text1"/>
              </w:rPr>
              <w:t>The high LQAR suggests those households on the lowest incomes will struggle to access housing of a suitable size; it is therefore appropriate that the majority of AH fal</w:t>
            </w:r>
            <w:r>
              <w:rPr>
                <w:color w:val="000000" w:themeColor="text1"/>
              </w:rPr>
              <w:t>l into the ‘social rented’ category.</w:t>
            </w:r>
            <w:r w:rsidRPr="004277B5">
              <w:rPr>
                <w:color w:val="000000" w:themeColor="text1"/>
              </w:rPr>
              <w:t xml:space="preserve"> </w:t>
            </w:r>
          </w:p>
          <w:p w:rsidR="00435EAC" w:rsidRPr="004277B5" w:rsidRDefault="00435EAC" w:rsidP="009144D7">
            <w:pPr>
              <w:pStyle w:val="BodyText"/>
              <w:rPr>
                <w:color w:val="000000" w:themeColor="text1"/>
              </w:rPr>
            </w:pPr>
            <w:r w:rsidRPr="004277B5">
              <w:rPr>
                <w:color w:val="000000" w:themeColor="text1"/>
              </w:rPr>
              <w:t>Given the relatively high cost of housing in West Wittering (based on estate agent feedback) we do not see a role for Discounted for Sale Dwellings (for example starter homes) given that, once the 20% discount has been taken into account, prices are likely to remain beyond the reach of first time buyer</w:t>
            </w:r>
            <w:r>
              <w:rPr>
                <w:color w:val="000000" w:themeColor="text1"/>
              </w:rPr>
              <w:t>s.</w:t>
            </w:r>
            <w:r w:rsidRPr="004277B5">
              <w:rPr>
                <w:color w:val="000000" w:themeColor="text1"/>
              </w:rPr>
              <w:t xml:space="preserve"> </w:t>
            </w:r>
          </w:p>
          <w:p w:rsidR="00435EAC" w:rsidRPr="004277B5" w:rsidRDefault="00435EAC" w:rsidP="009144D7">
            <w:pPr>
              <w:pStyle w:val="BodyText"/>
              <w:rPr>
                <w:color w:val="000000" w:themeColor="text1"/>
              </w:rPr>
            </w:pPr>
            <w:r w:rsidRPr="004277B5">
              <w:rPr>
                <w:color w:val="000000" w:themeColor="text1"/>
              </w:rPr>
              <w:t>Notwithstanding</w:t>
            </w:r>
            <w:r>
              <w:rPr>
                <w:color w:val="000000" w:themeColor="text1"/>
              </w:rPr>
              <w:t xml:space="preserve"> this</w:t>
            </w:r>
            <w:r w:rsidRPr="004277B5">
              <w:rPr>
                <w:color w:val="000000" w:themeColor="text1"/>
              </w:rPr>
              <w:t>, we do see a role for other forms of i</w:t>
            </w:r>
            <w:r>
              <w:rPr>
                <w:color w:val="000000" w:themeColor="text1"/>
              </w:rPr>
              <w:t>ntermediate housing, for example</w:t>
            </w:r>
            <w:r w:rsidRPr="004277B5">
              <w:rPr>
                <w:color w:val="000000" w:themeColor="text1"/>
              </w:rPr>
              <w:t xml:space="preserve"> share</w:t>
            </w:r>
            <w:r>
              <w:rPr>
                <w:color w:val="000000" w:themeColor="text1"/>
              </w:rPr>
              <w:t>d equity dwellings.</w:t>
            </w:r>
          </w:p>
        </w:tc>
      </w:tr>
      <w:tr w:rsidR="00435EAC" w:rsidRPr="00B90B1C" w:rsidTr="009144D7">
        <w:trPr>
          <w:trHeight w:val="501"/>
        </w:trPr>
        <w:tc>
          <w:tcPr>
            <w:tcW w:w="167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rsidR="00435EAC" w:rsidRPr="00B90B1C" w:rsidRDefault="00435EAC" w:rsidP="009144D7">
            <w:pPr>
              <w:pStyle w:val="BodyText"/>
              <w:rPr>
                <w:b/>
                <w:bCs/>
              </w:rPr>
            </w:pPr>
            <w:r w:rsidRPr="00B90B1C">
              <w:rPr>
                <w:b/>
                <w:bCs/>
              </w:rPr>
              <w:t xml:space="preserve">Demand/need for smaller </w:t>
            </w:r>
            <w:r w:rsidRPr="00B90B1C">
              <w:rPr>
                <w:b/>
                <w:bCs/>
              </w:rPr>
              <w:lastRenderedPageBreak/>
              <w:t>dwellings</w:t>
            </w:r>
          </w:p>
        </w:tc>
        <w:tc>
          <w:tcPr>
            <w:tcW w:w="1702"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rsidR="00435EAC" w:rsidRPr="00B90B1C" w:rsidRDefault="00435EAC" w:rsidP="009144D7">
            <w:pPr>
              <w:pStyle w:val="BodyText"/>
            </w:pPr>
            <w:r>
              <w:lastRenderedPageBreak/>
              <w:t>Census</w:t>
            </w:r>
            <w:r w:rsidR="00B25544">
              <w:t xml:space="preserve"> 2001/2011</w:t>
            </w:r>
            <w:r>
              <w:t xml:space="preserve">, </w:t>
            </w:r>
            <w:r>
              <w:lastRenderedPageBreak/>
              <w:t>CWSS12</w:t>
            </w:r>
          </w:p>
        </w:tc>
        <w:tc>
          <w:tcPr>
            <w:tcW w:w="340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rsidR="00435EAC" w:rsidRDefault="00435EAC" w:rsidP="009144D7">
            <w:pPr>
              <w:pStyle w:val="BodyText"/>
              <w:rPr>
                <w:bCs/>
                <w:iCs/>
                <w:color w:val="000000" w:themeColor="text1"/>
                <w:lang w:val="en-US"/>
              </w:rPr>
            </w:pPr>
            <w:r w:rsidRPr="004277B5">
              <w:rPr>
                <w:bCs/>
                <w:iCs/>
                <w:color w:val="000000" w:themeColor="text1"/>
                <w:lang w:val="en-US"/>
              </w:rPr>
              <w:lastRenderedPageBreak/>
              <w:t xml:space="preserve">Census data shows a high proportion of the population living alone (37.5%) compared with the </w:t>
            </w:r>
            <w:r>
              <w:rPr>
                <w:bCs/>
                <w:iCs/>
                <w:color w:val="000000" w:themeColor="text1"/>
                <w:lang w:val="en-US"/>
              </w:rPr>
              <w:t>District</w:t>
            </w:r>
            <w:r w:rsidRPr="004277B5">
              <w:rPr>
                <w:bCs/>
                <w:iCs/>
                <w:color w:val="000000" w:themeColor="text1"/>
                <w:lang w:val="en-US"/>
              </w:rPr>
              <w:t xml:space="preserve"> </w:t>
            </w:r>
            <w:r>
              <w:rPr>
                <w:bCs/>
                <w:iCs/>
                <w:color w:val="000000" w:themeColor="text1"/>
                <w:lang w:val="en-US"/>
              </w:rPr>
              <w:t xml:space="preserve">as a whole </w:t>
            </w:r>
            <w:r w:rsidRPr="004277B5">
              <w:rPr>
                <w:bCs/>
                <w:iCs/>
                <w:color w:val="000000" w:themeColor="text1"/>
                <w:lang w:val="en-US"/>
              </w:rPr>
              <w:lastRenderedPageBreak/>
              <w:t>(32%); this group has grown substantially over the inter-censual period, recording an increase of 59 households over the period, the majority of whom were under 65</w:t>
            </w:r>
            <w:r>
              <w:rPr>
                <w:bCs/>
                <w:iCs/>
                <w:color w:val="000000" w:themeColor="text1"/>
                <w:lang w:val="en-US"/>
              </w:rPr>
              <w:t xml:space="preserve">. </w:t>
            </w:r>
          </w:p>
          <w:p w:rsidR="00435EAC" w:rsidRDefault="00435EAC" w:rsidP="009144D7">
            <w:pPr>
              <w:pStyle w:val="BodyText"/>
              <w:rPr>
                <w:color w:val="000000" w:themeColor="text1"/>
              </w:rPr>
            </w:pPr>
            <w:r>
              <w:rPr>
                <w:color w:val="000000" w:themeColor="text1"/>
              </w:rPr>
              <w:t>4% of households occupy dwellings of 1-3 habitable rooms.</w:t>
            </w:r>
          </w:p>
          <w:p w:rsidR="00435EAC" w:rsidRDefault="00435EAC" w:rsidP="009144D7">
            <w:pPr>
              <w:pStyle w:val="BodyText"/>
              <w:rPr>
                <w:color w:val="000000" w:themeColor="text1"/>
              </w:rPr>
            </w:pPr>
            <w:r w:rsidRPr="00670A38">
              <w:rPr>
                <w:color w:val="000000" w:themeColor="text1"/>
              </w:rPr>
              <w:t>In Chichester South, the CWSS12 suggests roughly a third of all new residential development for the open market should be of 1-3 habitable rooms in size</w:t>
            </w:r>
            <w:r>
              <w:rPr>
                <w:color w:val="000000" w:themeColor="text1"/>
              </w:rPr>
              <w:t xml:space="preserve">. </w:t>
            </w:r>
          </w:p>
          <w:p w:rsidR="00435EAC" w:rsidRPr="004277B5" w:rsidRDefault="00435EAC" w:rsidP="009144D7">
            <w:pPr>
              <w:pStyle w:val="BodyText"/>
              <w:rPr>
                <w:color w:val="000000" w:themeColor="text1"/>
              </w:rPr>
            </w:pPr>
            <w:r w:rsidRPr="00670A38">
              <w:rPr>
                <w:color w:val="000000" w:themeColor="text1"/>
              </w:rPr>
              <w:t>For affordable homes, the CWSS12 suggests a larger proportion should be concentrated at the smaller end of the scale</w:t>
            </w:r>
            <w:r>
              <w:rPr>
                <w:color w:val="000000" w:themeColor="text1"/>
              </w:rPr>
              <w:t xml:space="preserve"> than for open market dwellings</w:t>
            </w:r>
            <w:r w:rsidRPr="00670A38">
              <w:rPr>
                <w:color w:val="000000" w:themeColor="text1"/>
              </w:rPr>
              <w:t xml:space="preserve">, with 66.8% of all new AH dwellings being 1-3 habitable rooms in size. </w:t>
            </w:r>
          </w:p>
        </w:tc>
        <w:tc>
          <w:tcPr>
            <w:tcW w:w="3119"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rsidR="00435EAC" w:rsidRDefault="00435EAC" w:rsidP="009144D7">
            <w:pPr>
              <w:pStyle w:val="BodyText"/>
              <w:rPr>
                <w:color w:val="000000" w:themeColor="text1"/>
              </w:rPr>
            </w:pPr>
            <w:r>
              <w:rPr>
                <w:color w:val="000000" w:themeColor="text1"/>
              </w:rPr>
              <w:lastRenderedPageBreak/>
              <w:t xml:space="preserve">The low proportion of households living in small dwellings </w:t>
            </w:r>
            <w:r w:rsidRPr="00670A38">
              <w:rPr>
                <w:color w:val="000000" w:themeColor="text1"/>
              </w:rPr>
              <w:t xml:space="preserve">must lead us to query whether the housing </w:t>
            </w:r>
            <w:r w:rsidRPr="00670A38">
              <w:rPr>
                <w:color w:val="000000" w:themeColor="text1"/>
              </w:rPr>
              <w:lastRenderedPageBreak/>
              <w:t>stock is suited to community need given</w:t>
            </w:r>
            <w:r>
              <w:rPr>
                <w:color w:val="000000" w:themeColor="text1"/>
              </w:rPr>
              <w:t>, firstly,</w:t>
            </w:r>
            <w:r w:rsidRPr="00670A38">
              <w:rPr>
                <w:color w:val="000000" w:themeColor="text1"/>
              </w:rPr>
              <w:t xml:space="preserve"> the changes that have been observed over the inter-censual period, in particular the </w:t>
            </w:r>
            <w:r>
              <w:rPr>
                <w:color w:val="000000" w:themeColor="text1"/>
              </w:rPr>
              <w:t xml:space="preserve">growth in one person households and, secondly, the affordability issues faced by those on lower incomes. </w:t>
            </w:r>
          </w:p>
          <w:p w:rsidR="00435EAC" w:rsidRPr="004277B5" w:rsidRDefault="00435EAC" w:rsidP="009144D7">
            <w:pPr>
              <w:pStyle w:val="BodyText"/>
              <w:rPr>
                <w:color w:val="000000" w:themeColor="text1"/>
              </w:rPr>
            </w:pPr>
            <w:r>
              <w:rPr>
                <w:color w:val="000000" w:themeColor="text1"/>
              </w:rPr>
              <w:t xml:space="preserve">Evidence from the CWSS12 provides clear support for smaller dwellings, and may be used as the justification for developing policy in this direction. </w:t>
            </w:r>
          </w:p>
        </w:tc>
      </w:tr>
      <w:tr w:rsidR="00435EAC" w:rsidRPr="00B90B1C" w:rsidTr="009144D7">
        <w:tc>
          <w:tcPr>
            <w:tcW w:w="167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rsidR="00435EAC" w:rsidRPr="00B90B1C" w:rsidRDefault="00435EAC" w:rsidP="009144D7">
            <w:pPr>
              <w:pStyle w:val="BodyText"/>
              <w:rPr>
                <w:b/>
                <w:bCs/>
              </w:rPr>
            </w:pPr>
            <w:r w:rsidRPr="00B90B1C">
              <w:rPr>
                <w:b/>
                <w:bCs/>
              </w:rPr>
              <w:lastRenderedPageBreak/>
              <w:t>Demographic change</w:t>
            </w:r>
          </w:p>
        </w:tc>
        <w:tc>
          <w:tcPr>
            <w:tcW w:w="1702"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rsidR="00435EAC" w:rsidRPr="00B90B1C" w:rsidRDefault="00435EAC" w:rsidP="009144D7">
            <w:pPr>
              <w:pStyle w:val="BodyText"/>
            </w:pPr>
            <w:r>
              <w:t>Census</w:t>
            </w:r>
            <w:r w:rsidR="00B25544">
              <w:t xml:space="preserve"> 2001/2011</w:t>
            </w:r>
          </w:p>
        </w:tc>
        <w:tc>
          <w:tcPr>
            <w:tcW w:w="340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rsidR="00435EAC" w:rsidRPr="004277B5" w:rsidRDefault="00435EAC" w:rsidP="009144D7">
            <w:pPr>
              <w:pStyle w:val="BodyText"/>
              <w:rPr>
                <w:bCs/>
                <w:iCs/>
                <w:color w:val="000000" w:themeColor="text1"/>
                <w:lang w:val="en-US"/>
              </w:rPr>
            </w:pPr>
            <w:r w:rsidRPr="004277B5">
              <w:rPr>
                <w:bCs/>
                <w:iCs/>
                <w:color w:val="000000" w:themeColor="text1"/>
                <w:lang w:val="en-US"/>
              </w:rPr>
              <w:t>The 2011 Census identified an under-representation of those aged under 44</w:t>
            </w:r>
            <w:r>
              <w:rPr>
                <w:bCs/>
                <w:iCs/>
                <w:color w:val="000000" w:themeColor="text1"/>
                <w:lang w:val="en-US"/>
              </w:rPr>
              <w:t xml:space="preserve"> in the NPA</w:t>
            </w:r>
            <w:r w:rsidRPr="004277B5">
              <w:rPr>
                <w:bCs/>
                <w:iCs/>
                <w:color w:val="000000" w:themeColor="text1"/>
                <w:lang w:val="en-US"/>
              </w:rPr>
              <w:t xml:space="preserve">, with large disparities with </w:t>
            </w:r>
            <w:r>
              <w:rPr>
                <w:bCs/>
                <w:iCs/>
                <w:color w:val="000000" w:themeColor="text1"/>
                <w:lang w:val="en-US"/>
              </w:rPr>
              <w:t>District</w:t>
            </w:r>
            <w:r w:rsidRPr="004277B5">
              <w:rPr>
                <w:bCs/>
                <w:iCs/>
                <w:color w:val="000000" w:themeColor="text1"/>
                <w:lang w:val="en-US"/>
              </w:rPr>
              <w:t xml:space="preserve"> and national geographies</w:t>
            </w:r>
            <w:r>
              <w:rPr>
                <w:bCs/>
                <w:iCs/>
                <w:color w:val="000000" w:themeColor="text1"/>
                <w:lang w:val="en-US"/>
              </w:rPr>
              <w:t>.</w:t>
            </w:r>
          </w:p>
          <w:p w:rsidR="00435EAC" w:rsidRPr="004277B5" w:rsidRDefault="00435EAC" w:rsidP="009144D7">
            <w:pPr>
              <w:pStyle w:val="BodyText"/>
              <w:rPr>
                <w:bCs/>
                <w:iCs/>
                <w:color w:val="000000" w:themeColor="text1"/>
                <w:lang w:val="en-US"/>
              </w:rPr>
            </w:pPr>
            <w:r w:rsidRPr="004277B5">
              <w:rPr>
                <w:bCs/>
                <w:iCs/>
                <w:color w:val="000000" w:themeColor="text1"/>
                <w:lang w:val="en-US"/>
              </w:rPr>
              <w:t xml:space="preserve">Over the inter-censual period, the representation of families declined, with the largest fall </w:t>
            </w:r>
            <w:r>
              <w:rPr>
                <w:bCs/>
                <w:iCs/>
                <w:color w:val="000000" w:themeColor="text1"/>
                <w:lang w:val="en-US"/>
              </w:rPr>
              <w:t xml:space="preserve">being </w:t>
            </w:r>
            <w:r w:rsidRPr="004277B5">
              <w:rPr>
                <w:bCs/>
                <w:iCs/>
                <w:color w:val="000000" w:themeColor="text1"/>
                <w:lang w:val="en-US"/>
              </w:rPr>
              <w:t>those with dependent children (10.2%)</w:t>
            </w:r>
            <w:r>
              <w:rPr>
                <w:bCs/>
                <w:iCs/>
                <w:color w:val="000000" w:themeColor="text1"/>
                <w:lang w:val="en-US"/>
              </w:rPr>
              <w:t>.</w:t>
            </w:r>
          </w:p>
          <w:p w:rsidR="00435EAC" w:rsidRPr="004277B5" w:rsidRDefault="00435EAC" w:rsidP="009144D7">
            <w:pPr>
              <w:pStyle w:val="BodyText"/>
              <w:rPr>
                <w:bCs/>
                <w:iCs/>
                <w:color w:val="000000" w:themeColor="text1"/>
                <w:lang w:val="en-US"/>
              </w:rPr>
            </w:pPr>
            <w:r w:rsidRPr="004277B5">
              <w:rPr>
                <w:bCs/>
                <w:iCs/>
                <w:color w:val="000000" w:themeColor="text1"/>
                <w:lang w:val="en-US"/>
              </w:rPr>
              <w:t>42% of residents were aged 65+ at the time of the last Census</w:t>
            </w:r>
            <w:r>
              <w:rPr>
                <w:bCs/>
                <w:iCs/>
                <w:color w:val="000000" w:themeColor="text1"/>
                <w:lang w:val="en-US"/>
              </w:rPr>
              <w:t>.</w:t>
            </w:r>
          </w:p>
          <w:p w:rsidR="00435EAC" w:rsidRPr="004277B5" w:rsidRDefault="00435EAC" w:rsidP="009144D7">
            <w:pPr>
              <w:pStyle w:val="BodyText"/>
              <w:rPr>
                <w:bCs/>
                <w:iCs/>
                <w:color w:val="000000" w:themeColor="text1"/>
                <w:lang w:val="en-US"/>
              </w:rPr>
            </w:pPr>
            <w:r w:rsidRPr="004277B5">
              <w:rPr>
                <w:bCs/>
                <w:iCs/>
                <w:color w:val="000000" w:themeColor="text1"/>
                <w:lang w:val="en-US"/>
              </w:rPr>
              <w:t xml:space="preserve">Data for the </w:t>
            </w:r>
            <w:r>
              <w:rPr>
                <w:bCs/>
                <w:iCs/>
                <w:color w:val="000000" w:themeColor="text1"/>
                <w:lang w:val="en-US"/>
              </w:rPr>
              <w:t>District</w:t>
            </w:r>
            <w:r w:rsidRPr="004277B5">
              <w:rPr>
                <w:bCs/>
                <w:iCs/>
                <w:color w:val="000000" w:themeColor="text1"/>
                <w:lang w:val="en-US"/>
              </w:rPr>
              <w:t xml:space="preserve"> provides a strong indication that the growth in one-person households as a share of the overall population will continue to increase over the Plan period.</w:t>
            </w:r>
          </w:p>
          <w:p w:rsidR="00435EAC" w:rsidRPr="004277B5" w:rsidRDefault="00435EAC" w:rsidP="009144D7">
            <w:pPr>
              <w:pStyle w:val="BodyText"/>
              <w:rPr>
                <w:bCs/>
                <w:iCs/>
                <w:color w:val="000000" w:themeColor="text1"/>
                <w:lang w:val="en-US"/>
              </w:rPr>
            </w:pPr>
            <w:r w:rsidRPr="004277B5">
              <w:rPr>
                <w:bCs/>
                <w:iCs/>
                <w:color w:val="000000" w:themeColor="text1"/>
                <w:lang w:val="en-US"/>
              </w:rPr>
              <w:t xml:space="preserve">Using </w:t>
            </w:r>
            <w:r>
              <w:rPr>
                <w:bCs/>
                <w:iCs/>
                <w:color w:val="000000" w:themeColor="text1"/>
                <w:lang w:val="en-US"/>
              </w:rPr>
              <w:t>District</w:t>
            </w:r>
            <w:r w:rsidRPr="004277B5">
              <w:rPr>
                <w:bCs/>
                <w:iCs/>
                <w:color w:val="000000" w:themeColor="text1"/>
                <w:lang w:val="en-US"/>
              </w:rPr>
              <w:t xml:space="preserve"> level data as a guide to future trends, </w:t>
            </w:r>
            <w:r>
              <w:rPr>
                <w:bCs/>
                <w:iCs/>
                <w:color w:val="000000" w:themeColor="text1"/>
                <w:lang w:val="en-US"/>
              </w:rPr>
              <w:t xml:space="preserve">the </w:t>
            </w:r>
            <w:r w:rsidRPr="004277B5">
              <w:rPr>
                <w:bCs/>
                <w:iCs/>
                <w:color w:val="000000" w:themeColor="text1"/>
                <w:lang w:val="en-US"/>
              </w:rPr>
              <w:t xml:space="preserve">characteristics identified in </w:t>
            </w:r>
            <w:r>
              <w:rPr>
                <w:bCs/>
                <w:iCs/>
                <w:color w:val="000000" w:themeColor="text1"/>
                <w:lang w:val="en-US"/>
              </w:rPr>
              <w:t>C</w:t>
            </w:r>
            <w:r w:rsidRPr="004277B5">
              <w:rPr>
                <w:bCs/>
                <w:iCs/>
                <w:color w:val="000000" w:themeColor="text1"/>
                <w:lang w:val="en-US"/>
              </w:rPr>
              <w:t xml:space="preserve">ensus are likely to become more pronounced over the Plan period. </w:t>
            </w:r>
          </w:p>
        </w:tc>
        <w:tc>
          <w:tcPr>
            <w:tcW w:w="3119"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rsidR="00435EAC" w:rsidRPr="004277B5" w:rsidRDefault="00435EAC" w:rsidP="009144D7">
            <w:pPr>
              <w:pStyle w:val="BodyText"/>
              <w:rPr>
                <w:color w:val="000000" w:themeColor="text1"/>
              </w:rPr>
            </w:pPr>
            <w:r>
              <w:rPr>
                <w:color w:val="000000" w:themeColor="text1"/>
              </w:rPr>
              <w:t xml:space="preserve">The relatively low number of adults aged under 44, and the fall in families </w:t>
            </w:r>
            <w:r w:rsidRPr="004277B5">
              <w:rPr>
                <w:color w:val="000000" w:themeColor="text1"/>
              </w:rPr>
              <w:t xml:space="preserve">threaten to undermine the vitality and viability of the settlement. If this continues, it is likely to reduce demand for infrastructure targeted at </w:t>
            </w:r>
            <w:r>
              <w:rPr>
                <w:color w:val="000000" w:themeColor="text1"/>
              </w:rPr>
              <w:t>these groups</w:t>
            </w:r>
            <w:r w:rsidRPr="004277B5">
              <w:rPr>
                <w:color w:val="000000" w:themeColor="text1"/>
              </w:rPr>
              <w:t>, for example pr</w:t>
            </w:r>
            <w:r>
              <w:rPr>
                <w:color w:val="000000" w:themeColor="text1"/>
              </w:rPr>
              <w:t>imary schools, as well as businesses and services for the general population.</w:t>
            </w:r>
          </w:p>
        </w:tc>
      </w:tr>
      <w:tr w:rsidR="00435EAC" w:rsidRPr="00B90B1C" w:rsidTr="009144D7">
        <w:tc>
          <w:tcPr>
            <w:tcW w:w="167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rsidR="00435EAC" w:rsidRPr="00B90B1C" w:rsidRDefault="00435EAC" w:rsidP="009144D7">
            <w:pPr>
              <w:pStyle w:val="BodyText"/>
              <w:rPr>
                <w:b/>
                <w:bCs/>
              </w:rPr>
            </w:pPr>
            <w:r w:rsidRPr="00B90B1C">
              <w:rPr>
                <w:b/>
                <w:bCs/>
              </w:rPr>
              <w:t>Dwelling type</w:t>
            </w:r>
          </w:p>
        </w:tc>
        <w:tc>
          <w:tcPr>
            <w:tcW w:w="1702"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rsidR="00435EAC" w:rsidRPr="00B90B1C" w:rsidRDefault="00435EAC" w:rsidP="009144D7">
            <w:pPr>
              <w:pStyle w:val="BodyText"/>
            </w:pPr>
            <w:r>
              <w:t>Census</w:t>
            </w:r>
            <w:r w:rsidR="00B25544">
              <w:t xml:space="preserve"> 2001/2011</w:t>
            </w:r>
          </w:p>
        </w:tc>
        <w:tc>
          <w:tcPr>
            <w:tcW w:w="340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rsidR="00435EAC" w:rsidRPr="004277B5" w:rsidRDefault="00435EAC" w:rsidP="009144D7">
            <w:pPr>
              <w:pStyle w:val="BodyText"/>
              <w:rPr>
                <w:color w:val="000000" w:themeColor="text1"/>
              </w:rPr>
            </w:pPr>
            <w:r w:rsidRPr="00670A38">
              <w:rPr>
                <w:color w:val="000000" w:themeColor="text1"/>
              </w:rPr>
              <w:t>West Wittering shows a clear preponderance of detached dwellings, in contrast to Chichester which shows a more even balance between houses of different types.</w:t>
            </w:r>
          </w:p>
        </w:tc>
        <w:tc>
          <w:tcPr>
            <w:tcW w:w="3119"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rsidR="00435EAC" w:rsidRPr="004277B5" w:rsidRDefault="00435EAC" w:rsidP="009144D7">
            <w:pPr>
              <w:pStyle w:val="BodyText"/>
              <w:rPr>
                <w:color w:val="000000" w:themeColor="text1"/>
              </w:rPr>
            </w:pPr>
            <w:r>
              <w:rPr>
                <w:color w:val="000000" w:themeColor="text1"/>
              </w:rPr>
              <w:t xml:space="preserve">The dominance of detached dwellings is consistent with the finding that the housing market is beyond the reach of many and there is a fundamental misalignment between the existing housing stock and the type and size of dwellings required by the community in future years.  </w:t>
            </w:r>
          </w:p>
        </w:tc>
      </w:tr>
      <w:tr w:rsidR="00435EAC" w:rsidRPr="00B90B1C" w:rsidTr="009144D7">
        <w:tc>
          <w:tcPr>
            <w:tcW w:w="167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rsidR="00435EAC" w:rsidRPr="00B90B1C" w:rsidRDefault="00435EAC" w:rsidP="009144D7">
            <w:pPr>
              <w:pStyle w:val="BodyText"/>
              <w:rPr>
                <w:b/>
                <w:bCs/>
              </w:rPr>
            </w:pPr>
            <w:r w:rsidRPr="00B90B1C">
              <w:rPr>
                <w:b/>
                <w:bCs/>
              </w:rPr>
              <w:lastRenderedPageBreak/>
              <w:t>Family-sized housing</w:t>
            </w:r>
          </w:p>
        </w:tc>
        <w:tc>
          <w:tcPr>
            <w:tcW w:w="1702"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rsidR="00435EAC" w:rsidRPr="00B90B1C" w:rsidRDefault="00435EAC" w:rsidP="009144D7">
            <w:pPr>
              <w:pStyle w:val="BodyText"/>
            </w:pPr>
            <w:r w:rsidRPr="00670A38">
              <w:rPr>
                <w:color w:val="000000" w:themeColor="text1"/>
              </w:rPr>
              <w:t>CWSS12</w:t>
            </w:r>
          </w:p>
        </w:tc>
        <w:tc>
          <w:tcPr>
            <w:tcW w:w="340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rsidR="00435EAC" w:rsidRDefault="00435EAC" w:rsidP="009144D7">
            <w:pPr>
              <w:pStyle w:val="BodyText"/>
              <w:rPr>
                <w:color w:val="000000" w:themeColor="text1"/>
              </w:rPr>
            </w:pPr>
            <w:r w:rsidRPr="00670A38">
              <w:rPr>
                <w:color w:val="000000" w:themeColor="text1"/>
              </w:rPr>
              <w:t xml:space="preserve">In Chichester South, the CWSS12 suggests </w:t>
            </w:r>
            <w:r>
              <w:rPr>
                <w:color w:val="000000" w:themeColor="text1"/>
              </w:rPr>
              <w:t>m</w:t>
            </w:r>
            <w:r w:rsidRPr="00670A38">
              <w:rPr>
                <w:color w:val="000000" w:themeColor="text1"/>
              </w:rPr>
              <w:t>edium sized homes of three bedrooms (4-5 habitable rooms) should c</w:t>
            </w:r>
            <w:r>
              <w:rPr>
                <w:color w:val="000000" w:themeColor="text1"/>
              </w:rPr>
              <w:t>onstitute 48.5% of all market dwellings</w:t>
            </w:r>
            <w:r w:rsidRPr="00670A38">
              <w:rPr>
                <w:color w:val="000000" w:themeColor="text1"/>
              </w:rPr>
              <w:t xml:space="preserve">, and 18.2% should be apportioned to larger </w:t>
            </w:r>
            <w:r>
              <w:rPr>
                <w:color w:val="000000" w:themeColor="text1"/>
              </w:rPr>
              <w:t>homes.</w:t>
            </w:r>
          </w:p>
          <w:p w:rsidR="00435EAC" w:rsidRPr="004277B5" w:rsidRDefault="00435EAC" w:rsidP="009144D7">
            <w:pPr>
              <w:pStyle w:val="BodyText"/>
              <w:rPr>
                <w:color w:val="000000" w:themeColor="text1"/>
              </w:rPr>
            </w:pPr>
            <w:r w:rsidRPr="00670A38">
              <w:rPr>
                <w:color w:val="000000" w:themeColor="text1"/>
              </w:rPr>
              <w:t xml:space="preserve">In Chichester South, the CWSS12 suggests 30.1% of </w:t>
            </w:r>
            <w:r>
              <w:rPr>
                <w:color w:val="000000" w:themeColor="text1"/>
              </w:rPr>
              <w:t>affordable homes should be m</w:t>
            </w:r>
            <w:r w:rsidRPr="00670A38">
              <w:rPr>
                <w:color w:val="000000" w:themeColor="text1"/>
              </w:rPr>
              <w:t>edium sized homes of three bedrooms (4-5 habitable rooms), and only 3% of larger size.</w:t>
            </w:r>
          </w:p>
        </w:tc>
        <w:tc>
          <w:tcPr>
            <w:tcW w:w="3119"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rsidR="00435EAC" w:rsidRPr="004277B5" w:rsidRDefault="00435EAC" w:rsidP="009144D7">
            <w:pPr>
              <w:pStyle w:val="BodyText"/>
              <w:rPr>
                <w:color w:val="000000" w:themeColor="text1"/>
              </w:rPr>
            </w:pPr>
            <w:r>
              <w:rPr>
                <w:color w:val="000000" w:themeColor="text1"/>
              </w:rPr>
              <w:t xml:space="preserve">There is a strong argument for the provision of family housing within the overall mix. The evidence assembled may be used to justify policy that seeks a balanced community in terms of age, household composition and income group. </w:t>
            </w:r>
          </w:p>
        </w:tc>
      </w:tr>
      <w:tr w:rsidR="00435EAC" w:rsidRPr="00B90B1C" w:rsidTr="009144D7">
        <w:tc>
          <w:tcPr>
            <w:tcW w:w="167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rsidR="00435EAC" w:rsidRPr="00B90B1C" w:rsidRDefault="00435EAC" w:rsidP="009144D7">
            <w:pPr>
              <w:pStyle w:val="BodyText"/>
              <w:rPr>
                <w:b/>
                <w:bCs/>
              </w:rPr>
            </w:pPr>
            <w:r w:rsidRPr="00B90B1C">
              <w:rPr>
                <w:b/>
                <w:bCs/>
              </w:rPr>
              <w:t>Housing for independent living for older people</w:t>
            </w:r>
          </w:p>
        </w:tc>
        <w:tc>
          <w:tcPr>
            <w:tcW w:w="1702"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rsidR="00435EAC" w:rsidRPr="003F6F7E" w:rsidRDefault="00435EAC" w:rsidP="009144D7">
            <w:pPr>
              <w:pStyle w:val="BodyText"/>
              <w:rPr>
                <w:bCs/>
              </w:rPr>
            </w:pPr>
            <w:r w:rsidRPr="00670A38">
              <w:rPr>
                <w:color w:val="000000" w:themeColor="text1"/>
              </w:rPr>
              <w:t>CWSS12</w:t>
            </w:r>
            <w:r>
              <w:rPr>
                <w:color w:val="000000" w:themeColor="text1"/>
              </w:rPr>
              <w:t xml:space="preserve">, Census, Housing </w:t>
            </w:r>
            <w:r w:rsidRPr="00A7065F">
              <w:rPr>
                <w:color w:val="000000" w:themeColor="text1"/>
              </w:rPr>
              <w:t>Learning and Improvement Network</w:t>
            </w:r>
          </w:p>
        </w:tc>
        <w:tc>
          <w:tcPr>
            <w:tcW w:w="340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rsidR="00435EAC" w:rsidRDefault="00435EAC" w:rsidP="009144D7">
            <w:pPr>
              <w:pStyle w:val="BodyText"/>
              <w:rPr>
                <w:bCs/>
                <w:iCs/>
                <w:color w:val="000000" w:themeColor="text1"/>
                <w:lang w:val="en-US"/>
              </w:rPr>
            </w:pPr>
            <w:r w:rsidRPr="004277B5">
              <w:rPr>
                <w:bCs/>
                <w:iCs/>
                <w:color w:val="000000" w:themeColor="text1"/>
                <w:lang w:val="en-US"/>
              </w:rPr>
              <w:t xml:space="preserve">The </w:t>
            </w:r>
            <w:r>
              <w:rPr>
                <w:bCs/>
                <w:iCs/>
                <w:color w:val="000000" w:themeColor="text1"/>
                <w:lang w:val="en-US"/>
              </w:rPr>
              <w:t>District</w:t>
            </w:r>
            <w:r w:rsidRPr="004277B5">
              <w:rPr>
                <w:bCs/>
                <w:iCs/>
                <w:color w:val="000000" w:themeColor="text1"/>
                <w:lang w:val="en-US"/>
              </w:rPr>
              <w:t xml:space="preserve"> data shows a substantial increase in the populati</w:t>
            </w:r>
            <w:r>
              <w:rPr>
                <w:bCs/>
                <w:iCs/>
                <w:color w:val="000000" w:themeColor="text1"/>
                <w:lang w:val="en-US"/>
              </w:rPr>
              <w:t xml:space="preserve">on of those aged 65+. </w:t>
            </w:r>
          </w:p>
          <w:p w:rsidR="00435EAC" w:rsidRPr="004277B5" w:rsidRDefault="00435EAC" w:rsidP="009144D7">
            <w:pPr>
              <w:pStyle w:val="BodyText"/>
              <w:rPr>
                <w:bCs/>
                <w:color w:val="000000" w:themeColor="text1"/>
              </w:rPr>
            </w:pPr>
            <w:r>
              <w:rPr>
                <w:bCs/>
                <w:iCs/>
                <w:color w:val="000000" w:themeColor="text1"/>
                <w:lang w:val="en-US"/>
              </w:rPr>
              <w:t>G</w:t>
            </w:r>
            <w:r w:rsidRPr="004277B5">
              <w:rPr>
                <w:bCs/>
                <w:iCs/>
                <w:color w:val="000000" w:themeColor="text1"/>
                <w:lang w:val="en-US"/>
              </w:rPr>
              <w:t xml:space="preserve">iven </w:t>
            </w:r>
            <w:r>
              <w:rPr>
                <w:bCs/>
                <w:iCs/>
                <w:color w:val="000000" w:themeColor="text1"/>
                <w:lang w:val="en-US"/>
              </w:rPr>
              <w:t xml:space="preserve">that </w:t>
            </w:r>
            <w:r w:rsidRPr="004277B5">
              <w:rPr>
                <w:bCs/>
                <w:iCs/>
                <w:color w:val="000000" w:themeColor="text1"/>
                <w:lang w:val="en-US"/>
              </w:rPr>
              <w:t xml:space="preserve">the population of the NPA </w:t>
            </w:r>
            <w:r>
              <w:rPr>
                <w:bCs/>
                <w:iCs/>
                <w:color w:val="000000" w:themeColor="text1"/>
                <w:lang w:val="en-US"/>
              </w:rPr>
              <w:t>is already</w:t>
            </w:r>
            <w:r w:rsidRPr="004277B5">
              <w:rPr>
                <w:bCs/>
                <w:iCs/>
                <w:color w:val="000000" w:themeColor="text1"/>
                <w:lang w:val="en-US"/>
              </w:rPr>
              <w:t xml:space="preserve"> strongly ag</w:t>
            </w:r>
            <w:r>
              <w:rPr>
                <w:bCs/>
                <w:iCs/>
                <w:color w:val="000000" w:themeColor="text1"/>
                <w:lang w:val="en-US"/>
              </w:rPr>
              <w:t>e</w:t>
            </w:r>
            <w:r w:rsidRPr="004277B5">
              <w:rPr>
                <w:bCs/>
                <w:iCs/>
                <w:color w:val="000000" w:themeColor="text1"/>
                <w:lang w:val="en-US"/>
              </w:rPr>
              <w:t xml:space="preserve">ing, a reasonable conclusion would be that trends forecast for the </w:t>
            </w:r>
            <w:r>
              <w:rPr>
                <w:bCs/>
                <w:iCs/>
                <w:color w:val="000000" w:themeColor="text1"/>
                <w:lang w:val="en-US"/>
              </w:rPr>
              <w:t>District</w:t>
            </w:r>
            <w:r w:rsidRPr="004277B5">
              <w:rPr>
                <w:bCs/>
                <w:iCs/>
                <w:color w:val="000000" w:themeColor="text1"/>
                <w:lang w:val="en-US"/>
              </w:rPr>
              <w:t xml:space="preserve"> are likely to be more extreme in West </w:t>
            </w:r>
            <w:proofErr w:type="spellStart"/>
            <w:r w:rsidRPr="004277B5">
              <w:rPr>
                <w:bCs/>
                <w:iCs/>
                <w:color w:val="000000" w:themeColor="text1"/>
                <w:lang w:val="en-US"/>
              </w:rPr>
              <w:t>Wittering</w:t>
            </w:r>
            <w:proofErr w:type="spellEnd"/>
            <w:r w:rsidRPr="004277B5">
              <w:rPr>
                <w:bCs/>
                <w:iCs/>
                <w:color w:val="000000" w:themeColor="text1"/>
                <w:lang w:val="en-US"/>
              </w:rPr>
              <w:t>.</w:t>
            </w:r>
          </w:p>
        </w:tc>
        <w:tc>
          <w:tcPr>
            <w:tcW w:w="3119"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rsidR="00435EAC" w:rsidRPr="00C0690C" w:rsidRDefault="00435EAC" w:rsidP="009144D7">
            <w:pPr>
              <w:pStyle w:val="BodyText"/>
              <w:rPr>
                <w:color w:val="000000" w:themeColor="text1"/>
                <w:lang w:val="en-US"/>
              </w:rPr>
            </w:pPr>
            <w:r>
              <w:rPr>
                <w:color w:val="000000" w:themeColor="text1"/>
                <w:lang w:val="en-US"/>
              </w:rPr>
              <w:t>Using the H</w:t>
            </w:r>
            <w:r w:rsidRPr="00C0690C">
              <w:rPr>
                <w:color w:val="000000" w:themeColor="text1"/>
                <w:lang w:val="en-US"/>
              </w:rPr>
              <w:t>ousing LIN</w:t>
            </w:r>
            <w:r>
              <w:rPr>
                <w:rStyle w:val="FootnoteReference"/>
                <w:lang w:val="en-US"/>
              </w:rPr>
              <w:footnoteReference w:id="56"/>
            </w:r>
            <w:r>
              <w:rPr>
                <w:color w:val="000000" w:themeColor="text1"/>
                <w:lang w:val="en-US"/>
              </w:rPr>
              <w:t xml:space="preserve"> </w:t>
            </w:r>
            <w:r w:rsidRPr="00C0690C">
              <w:rPr>
                <w:color w:val="000000" w:themeColor="text1"/>
                <w:lang w:val="en-US"/>
              </w:rPr>
              <w:t xml:space="preserve">approach, over the Plan period, this HNA has identified a need in the </w:t>
            </w:r>
            <w:r>
              <w:rPr>
                <w:color w:val="000000" w:themeColor="text1"/>
                <w:lang w:val="en-US"/>
              </w:rPr>
              <w:t>Parish</w:t>
            </w:r>
            <w:r w:rsidRPr="00C0690C">
              <w:rPr>
                <w:color w:val="000000" w:themeColor="text1"/>
                <w:lang w:val="en-US"/>
              </w:rPr>
              <w:t xml:space="preserve"> for: </w:t>
            </w:r>
          </w:p>
          <w:p w:rsidR="00435EAC" w:rsidRPr="00C0690C" w:rsidRDefault="00435EAC" w:rsidP="009144D7">
            <w:pPr>
              <w:pStyle w:val="BodyText"/>
              <w:rPr>
                <w:color w:val="000000" w:themeColor="text1"/>
                <w:lang w:val="en-US"/>
              </w:rPr>
            </w:pPr>
            <w:r w:rsidRPr="00C0690C">
              <w:rPr>
                <w:color w:val="000000" w:themeColor="text1"/>
                <w:lang w:val="en-US"/>
              </w:rPr>
              <w:t>10 additional conventional sheltered housing units</w:t>
            </w:r>
          </w:p>
          <w:p w:rsidR="00435EAC" w:rsidRPr="00C0690C" w:rsidRDefault="00435EAC" w:rsidP="009144D7">
            <w:pPr>
              <w:pStyle w:val="BodyText"/>
              <w:rPr>
                <w:color w:val="000000" w:themeColor="text1"/>
                <w:lang w:val="en-US"/>
              </w:rPr>
            </w:pPr>
            <w:r w:rsidRPr="00C0690C">
              <w:rPr>
                <w:color w:val="000000" w:themeColor="text1"/>
                <w:lang w:val="en-US"/>
              </w:rPr>
              <w:t>20 additional leasehold sheltered housing units</w:t>
            </w:r>
          </w:p>
          <w:p w:rsidR="00435EAC" w:rsidRPr="00C0690C" w:rsidRDefault="00435EAC" w:rsidP="009144D7">
            <w:pPr>
              <w:pStyle w:val="BodyText"/>
              <w:rPr>
                <w:color w:val="000000" w:themeColor="text1"/>
                <w:lang w:val="en-US"/>
              </w:rPr>
            </w:pPr>
            <w:r w:rsidRPr="00C0690C">
              <w:rPr>
                <w:color w:val="000000" w:themeColor="text1"/>
                <w:lang w:val="en-US"/>
              </w:rPr>
              <w:t>4 additional ‘enhanced’ sheltered units, split 50:50 between those for rent and those for sale</w:t>
            </w:r>
          </w:p>
          <w:p w:rsidR="00435EAC" w:rsidRPr="00C0690C" w:rsidRDefault="00435EAC" w:rsidP="009144D7">
            <w:pPr>
              <w:pStyle w:val="BodyText"/>
              <w:rPr>
                <w:color w:val="000000" w:themeColor="text1"/>
                <w:lang w:val="en-US"/>
              </w:rPr>
            </w:pPr>
            <w:r w:rsidRPr="00C0690C">
              <w:rPr>
                <w:color w:val="000000" w:themeColor="text1"/>
                <w:lang w:val="en-US"/>
              </w:rPr>
              <w:t>3 additional extra care housing units for rent</w:t>
            </w:r>
          </w:p>
          <w:p w:rsidR="00435EAC" w:rsidRPr="00C0690C" w:rsidRDefault="00435EAC" w:rsidP="009144D7">
            <w:pPr>
              <w:pStyle w:val="BodyText"/>
              <w:rPr>
                <w:color w:val="000000" w:themeColor="text1"/>
                <w:lang w:val="en-US"/>
              </w:rPr>
            </w:pPr>
            <w:r w:rsidRPr="00C0690C">
              <w:rPr>
                <w:color w:val="000000" w:themeColor="text1"/>
                <w:lang w:val="en-US"/>
              </w:rPr>
              <w:t>6 additional extra care housing units for sale</w:t>
            </w:r>
          </w:p>
          <w:p w:rsidR="00435EAC" w:rsidRDefault="00435EAC" w:rsidP="009144D7">
            <w:pPr>
              <w:pStyle w:val="BodyText"/>
              <w:rPr>
                <w:color w:val="000000" w:themeColor="text1"/>
                <w:lang w:val="en-US"/>
              </w:rPr>
            </w:pPr>
            <w:r w:rsidRPr="00C0690C">
              <w:rPr>
                <w:color w:val="000000" w:themeColor="text1"/>
                <w:lang w:val="en-US"/>
              </w:rPr>
              <w:t>1 additional specialist dementia care home</w:t>
            </w:r>
          </w:p>
          <w:p w:rsidR="00435EAC" w:rsidRPr="004277B5" w:rsidRDefault="00435EAC" w:rsidP="009144D7">
            <w:pPr>
              <w:pStyle w:val="BodyText"/>
              <w:rPr>
                <w:color w:val="000000" w:themeColor="text1"/>
                <w:lang w:val="en-US"/>
              </w:rPr>
            </w:pPr>
            <w:r>
              <w:rPr>
                <w:color w:val="000000" w:themeColor="text1"/>
                <w:lang w:val="en-US"/>
              </w:rPr>
              <w:t xml:space="preserve">There is no obligation on the Parish to satisfy the need for 44 specialist dwellings for the elderly, and they may be better provided </w:t>
            </w:r>
            <w:proofErr w:type="gramStart"/>
            <w:r>
              <w:rPr>
                <w:color w:val="000000" w:themeColor="text1"/>
                <w:lang w:val="en-US"/>
              </w:rPr>
              <w:t>at  settlements</w:t>
            </w:r>
            <w:proofErr w:type="gramEnd"/>
            <w:r>
              <w:rPr>
                <w:color w:val="000000" w:themeColor="text1"/>
                <w:lang w:val="en-US"/>
              </w:rPr>
              <w:t xml:space="preserve"> that can provide better access to services; however, the need should be borne in mind in formulating the plan’s housing policies. </w:t>
            </w:r>
          </w:p>
        </w:tc>
      </w:tr>
    </w:tbl>
    <w:p w:rsidR="00435EAC" w:rsidRPr="00B90B1C" w:rsidRDefault="00435EAC" w:rsidP="00435EAC">
      <w:pPr>
        <w:pStyle w:val="BodyText"/>
        <w:rPr>
          <w:b/>
          <w:lang w:val="en-US"/>
        </w:rPr>
      </w:pPr>
    </w:p>
    <w:p w:rsidR="00E80CC8" w:rsidRPr="00B90B1C" w:rsidRDefault="00E80CC8" w:rsidP="00B90B1C">
      <w:pPr>
        <w:pStyle w:val="Heading2"/>
        <w:rPr>
          <w:lang w:val="en-US"/>
        </w:rPr>
      </w:pPr>
      <w:bookmarkStart w:id="210" w:name="_Toc425332024"/>
      <w:bookmarkStart w:id="211" w:name="_Toc461696231"/>
      <w:bookmarkStart w:id="212" w:name="_Toc504464756"/>
      <w:bookmarkEnd w:id="209"/>
      <w:r w:rsidRPr="00B90B1C">
        <w:rPr>
          <w:lang w:val="en-US"/>
        </w:rPr>
        <w:t>Recommendations for next steps</w:t>
      </w:r>
      <w:bookmarkEnd w:id="210"/>
      <w:bookmarkEnd w:id="211"/>
      <w:bookmarkEnd w:id="212"/>
    </w:p>
    <w:p w:rsidR="000C7B46" w:rsidRPr="000C7B46" w:rsidRDefault="000C7B46" w:rsidP="000C7B46">
      <w:pPr>
        <w:pStyle w:val="ListNumber"/>
        <w:rPr>
          <w:lang w:val="en-US"/>
        </w:rPr>
      </w:pPr>
      <w:bookmarkStart w:id="213" w:name="Text_DocumentCopies"/>
      <w:r w:rsidRPr="000C7B46">
        <w:rPr>
          <w:lang w:val="en-US"/>
        </w:rPr>
        <w:t xml:space="preserve">This neighbourhood plan housing needs advice has aimed to provide WWPC with evidence on housing trends from a range of sources. We recommend that the </w:t>
      </w:r>
      <w:r w:rsidR="005F5CF8">
        <w:rPr>
          <w:lang w:val="en-US"/>
        </w:rPr>
        <w:t>Parish</w:t>
      </w:r>
      <w:r w:rsidRPr="000C7B46">
        <w:rPr>
          <w:lang w:val="en-US"/>
        </w:rPr>
        <w:t xml:space="preserve"> should, as a next step, discuss the contents and conclusions with CDC with a view to agreeing and formulating draft housing policies, in particular the appropriate approach to identifying the level of </w:t>
      </w:r>
      <w:r w:rsidR="00864229">
        <w:rPr>
          <w:lang w:val="en-US"/>
        </w:rPr>
        <w:t xml:space="preserve">new housing </w:t>
      </w:r>
      <w:r w:rsidRPr="000C7B46">
        <w:rPr>
          <w:lang w:val="en-US"/>
        </w:rPr>
        <w:t>need in the NP area, bearing the following in mind:</w:t>
      </w:r>
    </w:p>
    <w:p w:rsidR="000C7B46" w:rsidRPr="000C7B46" w:rsidRDefault="000C7B46" w:rsidP="000C7B46">
      <w:pPr>
        <w:pStyle w:val="ListNumber"/>
        <w:numPr>
          <w:ilvl w:val="0"/>
          <w:numId w:val="36"/>
        </w:numPr>
      </w:pPr>
      <w:r w:rsidRPr="000C7B46">
        <w:lastRenderedPageBreak/>
        <w:t>Neighbourhood Planning Basic Condition A, that it has regard to national policies and advice contained in guidance issued by the Secretary of State; Condition D, that the making of the neighbourhood plan contributes to the achievement of sustainable development; and Condition E, which is the need for the neighbourhood plan to be in general conformity with the adopted strategic development plan;</w:t>
      </w:r>
    </w:p>
    <w:p w:rsidR="000C7B46" w:rsidRPr="000C7B46" w:rsidRDefault="000C7B46" w:rsidP="000C7B46">
      <w:pPr>
        <w:pStyle w:val="ListBullet"/>
      </w:pPr>
      <w:r w:rsidRPr="000C7B46">
        <w:t>the views of CDC – in particular in relation to the housing need figure that should be adopted;</w:t>
      </w:r>
    </w:p>
    <w:p w:rsidR="000C7B46" w:rsidRPr="000C7B46" w:rsidRDefault="000C7B46" w:rsidP="000C7B46">
      <w:pPr>
        <w:pStyle w:val="ListBullet"/>
      </w:pPr>
      <w:r w:rsidRPr="000C7B46">
        <w:t>the views of local residents;</w:t>
      </w:r>
    </w:p>
    <w:p w:rsidR="000C7B46" w:rsidRPr="000C7B46" w:rsidRDefault="000C7B46" w:rsidP="000C7B46">
      <w:pPr>
        <w:pStyle w:val="ListBullet"/>
      </w:pPr>
      <w:r w:rsidRPr="000C7B46">
        <w:t xml:space="preserve">the views of other relevant local stakeholders, including housing developers; </w:t>
      </w:r>
    </w:p>
    <w:p w:rsidR="000C7B46" w:rsidRPr="000C7B46" w:rsidRDefault="000C7B46" w:rsidP="000C7B46">
      <w:pPr>
        <w:pStyle w:val="ListBullet"/>
      </w:pPr>
      <w:r w:rsidRPr="000C7B46">
        <w:t>the numerous supply-side considerations, including local environmental constraints, the location and characteristics of suitable land, and any capacity work carried out by the CDC, including but not limited to the SHLAA</w:t>
      </w:r>
      <w:r w:rsidR="00864229">
        <w:t>;</w:t>
      </w:r>
    </w:p>
    <w:p w:rsidR="000C7B46" w:rsidRPr="000C7B46" w:rsidRDefault="000C7B46" w:rsidP="000C7B46">
      <w:pPr>
        <w:pStyle w:val="ListBullet"/>
      </w:pPr>
      <w:r w:rsidRPr="000C7B46">
        <w:t>the recommendations and findings of this study; and</w:t>
      </w:r>
    </w:p>
    <w:p w:rsidR="000C7B46" w:rsidRPr="000C7B46" w:rsidRDefault="00864229" w:rsidP="000C7B46">
      <w:pPr>
        <w:pStyle w:val="ListBullet"/>
      </w:pPr>
      <w:r>
        <w:t>t</w:t>
      </w:r>
      <w:r w:rsidR="000C7B46" w:rsidRPr="000C7B46">
        <w:t xml:space="preserve">he impact of the new Government proposed standard methodology on calculating housing need </w:t>
      </w:r>
      <w:r w:rsidR="00CB5322">
        <w:t>for</w:t>
      </w:r>
      <w:r w:rsidR="00CB5322" w:rsidRPr="000C7B46">
        <w:t xml:space="preserve"> </w:t>
      </w:r>
      <w:r w:rsidR="000C7B46" w:rsidRPr="000C7B46">
        <w:t xml:space="preserve">the </w:t>
      </w:r>
      <w:r w:rsidR="005F5CF8">
        <w:t>District</w:t>
      </w:r>
      <w:r w:rsidR="000C7B46" w:rsidRPr="000C7B46">
        <w:t xml:space="preserve"> and its neighbourhoods.</w:t>
      </w:r>
    </w:p>
    <w:p w:rsidR="000C7B46" w:rsidRPr="000C7B46" w:rsidRDefault="000C7B46" w:rsidP="000C7B46">
      <w:pPr>
        <w:pStyle w:val="ListNumber"/>
        <w:rPr>
          <w:lang w:val="en-US"/>
        </w:rPr>
      </w:pPr>
      <w:r w:rsidRPr="000C7B46">
        <w:rPr>
          <w:lang w:val="en-US"/>
        </w:rPr>
        <w:t>Recent changes to the planning system, forthcoming changes to the NPPF, as well as the implementation of the Housing and Planning Act, will continue to affect housing policies at a local authority and, by extension, a neighbourhood level.</w:t>
      </w:r>
    </w:p>
    <w:p w:rsidR="000C7B46" w:rsidRPr="000C7B46" w:rsidRDefault="000C7B46" w:rsidP="000C7B46">
      <w:pPr>
        <w:pStyle w:val="ListNumber"/>
        <w:rPr>
          <w:lang w:val="en-US"/>
        </w:rPr>
      </w:pPr>
      <w:r w:rsidRPr="000C7B46">
        <w:rPr>
          <w:lang w:val="en-US"/>
        </w:rPr>
        <w:t>This advice note has been provided in good faith by AECOM on the basis of housing data and national guidance current at the time of writing (alongside other relevant and available information).</w:t>
      </w:r>
    </w:p>
    <w:p w:rsidR="000C7B46" w:rsidRPr="000C7B46" w:rsidRDefault="000C7B46" w:rsidP="000C7B46">
      <w:pPr>
        <w:pStyle w:val="ListNumber"/>
        <w:rPr>
          <w:lang w:val="en-US"/>
        </w:rPr>
      </w:pPr>
      <w:r w:rsidRPr="000C7B46">
        <w:rPr>
          <w:lang w:val="en-US"/>
        </w:rPr>
        <w:t xml:space="preserve">Bearing this in mind, we recommend that the steering group should monitor carefully strategies and documents with an impact on housing policy produced by the LPA or any other relevant body and review the neighbourhood plan accordingly to ensure that general conformity is maintained. </w:t>
      </w:r>
    </w:p>
    <w:p w:rsidR="000C7B46" w:rsidRPr="007E3425" w:rsidRDefault="000C7B46" w:rsidP="000C7B46">
      <w:pPr>
        <w:pStyle w:val="ListNumber"/>
        <w:rPr>
          <w:lang w:val="en-US"/>
        </w:rPr>
        <w:sectPr w:rsidR="000C7B46" w:rsidRPr="007E3425" w:rsidSect="00B25544">
          <w:headerReference w:type="default" r:id="rId31"/>
          <w:pgSz w:w="11907" w:h="16839" w:code="9"/>
          <w:pgMar w:top="1440" w:right="1080" w:bottom="1080" w:left="1080" w:header="432" w:footer="432" w:gutter="0"/>
          <w:cols w:space="720"/>
          <w:docGrid w:linePitch="360"/>
        </w:sectPr>
      </w:pPr>
      <w:r w:rsidRPr="000C7B46">
        <w:rPr>
          <w:lang w:val="en-US"/>
        </w:rPr>
        <w:t xml:space="preserve">At the same time, monitoring on-going demographic or other trends over the period in which the neighbourhood plan is being developed (factors summarised in Table 1) would help ensure </w:t>
      </w:r>
      <w:r w:rsidR="00B3089F">
        <w:rPr>
          <w:lang w:val="en-US"/>
        </w:rPr>
        <w:t xml:space="preserve">the </w:t>
      </w:r>
      <w:r w:rsidRPr="000C7B46">
        <w:rPr>
          <w:lang w:val="en-US"/>
        </w:rPr>
        <w:t>relevance and credibility of its policies.</w:t>
      </w:r>
    </w:p>
    <w:bookmarkEnd w:id="213"/>
    <w:p w:rsidR="00460F70" w:rsidRDefault="00460F70" w:rsidP="005137B7"/>
    <w:tbl>
      <w:tblPr>
        <w:tblStyle w:val="TableGrid"/>
        <w:tblpPr w:leftFromText="181" w:rightFromText="181" w:tblpYSpec="bottom"/>
        <w:tblOverlap w:val="nev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600" w:firstRow="0" w:lastRow="0" w:firstColumn="0" w:lastColumn="0" w:noHBand="1" w:noVBand="1"/>
      </w:tblPr>
      <w:tblGrid>
        <w:gridCol w:w="5925"/>
        <w:gridCol w:w="3101"/>
      </w:tblGrid>
      <w:tr w:rsidR="004E1B08" w:rsidRPr="004E1B08" w:rsidTr="00DE18EB">
        <w:trPr>
          <w:trHeight w:val="4500"/>
        </w:trPr>
        <w:tc>
          <w:tcPr>
            <w:tcW w:w="5925" w:type="dxa"/>
            <w:shd w:val="clear" w:color="auto" w:fill="auto"/>
            <w:vAlign w:val="bottom"/>
          </w:tcPr>
          <w:p w:rsidR="00FD6567" w:rsidRPr="00FD6567" w:rsidRDefault="00FD6567" w:rsidP="00FD6567">
            <w:pPr>
              <w:pStyle w:val="Coverfooter"/>
              <w:rPr>
                <w:color w:val="FFFFFF"/>
                <w:lang w:val="en-US"/>
              </w:rPr>
            </w:pPr>
            <w:bookmarkStart w:id="214" w:name="BackCoverText" w:colFirst="0" w:colLast="0"/>
            <w:r w:rsidRPr="00FD6567">
              <w:rPr>
                <w:color w:val="FFFFFF"/>
                <w:lang w:val="en-US"/>
              </w:rPr>
              <w:t>AECOM (NYSE: ACM) is a global provider of professional technical and management support services to a broad range of markets, including transportation, facilities, environmental, energy, water and government. With approximately 45,000 employees around the world, AECOM is a leader in all of the key markets that it serves. AECOM provides a blend of global reach, local knowledge, innovation, and collaborative technical excellence in delivering solutions that enhance and sustain the world’s built, natural, and social environments. A Fortune 500 company, AECOM serves Clients in more than 100 countries and has annual revenue in excess of $6 billion.</w:t>
            </w:r>
          </w:p>
          <w:p w:rsidR="00FD6567" w:rsidRPr="00FD6567" w:rsidRDefault="00FD6567" w:rsidP="00FD6567">
            <w:pPr>
              <w:pStyle w:val="Coverfooter"/>
              <w:rPr>
                <w:color w:val="FFFFFF"/>
                <w:lang w:val="en-US"/>
              </w:rPr>
            </w:pPr>
          </w:p>
          <w:p w:rsidR="00FD6567" w:rsidRPr="00FD6567" w:rsidRDefault="00FD6567" w:rsidP="00FD6567">
            <w:pPr>
              <w:pStyle w:val="Coverfooter"/>
              <w:rPr>
                <w:color w:val="FFFFFF"/>
                <w:lang w:val="en-US"/>
              </w:rPr>
            </w:pPr>
            <w:r w:rsidRPr="00FD6567">
              <w:rPr>
                <w:color w:val="FFFFFF"/>
                <w:lang w:val="en-US"/>
              </w:rPr>
              <w:t>More information on AECOM and its services can be found at www.aecom.com.</w:t>
            </w:r>
          </w:p>
          <w:p w:rsidR="00DE18EB" w:rsidRPr="005A1F44" w:rsidRDefault="00DE18EB" w:rsidP="00CC56EE">
            <w:pPr>
              <w:pStyle w:val="Coverfooter"/>
              <w:rPr>
                <w:color w:val="FFFFFF"/>
              </w:rPr>
            </w:pPr>
          </w:p>
          <w:p w:rsidR="00DE18EB" w:rsidRPr="005A1F44" w:rsidRDefault="00DE18EB" w:rsidP="00CC56EE">
            <w:pPr>
              <w:pStyle w:val="Coverfooter"/>
              <w:rPr>
                <w:color w:val="FFFFFF"/>
              </w:rPr>
            </w:pPr>
          </w:p>
          <w:p w:rsidR="00493CF1" w:rsidRPr="005A1F44" w:rsidRDefault="005A1F44" w:rsidP="00CC56EE">
            <w:pPr>
              <w:pStyle w:val="Coverfooter"/>
              <w:rPr>
                <w:color w:val="FFFFFF"/>
              </w:rPr>
            </w:pPr>
            <w:bookmarkStart w:id="215" w:name="OfficeAddress"/>
            <w:r w:rsidRPr="005A1F44">
              <w:rPr>
                <w:color w:val="FFFFFF"/>
              </w:rPr>
              <w:t xml:space="preserve">aecom.com </w:t>
            </w:r>
            <w:bookmarkEnd w:id="215"/>
            <w:r w:rsidR="00493CF1" w:rsidRPr="005A1F44">
              <w:rPr>
                <w:color w:val="FFFFFF"/>
              </w:rPr>
              <w:t xml:space="preserve"> </w:t>
            </w:r>
          </w:p>
          <w:p w:rsidR="00493CF1" w:rsidRPr="005A1F44" w:rsidRDefault="00493CF1" w:rsidP="00CC56EE">
            <w:pPr>
              <w:pStyle w:val="Coverfooter"/>
              <w:rPr>
                <w:color w:val="FFFFFF"/>
              </w:rPr>
            </w:pPr>
          </w:p>
        </w:tc>
        <w:tc>
          <w:tcPr>
            <w:tcW w:w="3101" w:type="dxa"/>
            <w:shd w:val="clear" w:color="auto" w:fill="auto"/>
            <w:vAlign w:val="bottom"/>
          </w:tcPr>
          <w:p w:rsidR="00493CF1" w:rsidRPr="004E1B08" w:rsidRDefault="00493CF1" w:rsidP="00CC56EE">
            <w:pPr>
              <w:pStyle w:val="Coverfooter"/>
            </w:pPr>
          </w:p>
        </w:tc>
      </w:tr>
      <w:bookmarkEnd w:id="214"/>
      <w:tr w:rsidR="004E1B08" w:rsidRPr="004E1B08" w:rsidTr="00DE18EB">
        <w:trPr>
          <w:trHeight w:val="508"/>
        </w:trPr>
        <w:tc>
          <w:tcPr>
            <w:tcW w:w="5925" w:type="dxa"/>
            <w:shd w:val="clear" w:color="auto" w:fill="auto"/>
            <w:vAlign w:val="bottom"/>
          </w:tcPr>
          <w:p w:rsidR="00DE18EB" w:rsidRPr="004E1B08" w:rsidRDefault="004E1B08" w:rsidP="00CC56EE">
            <w:pPr>
              <w:pStyle w:val="Coverfooter"/>
            </w:pPr>
            <w:r w:rsidRPr="004E1B08">
              <w:rPr>
                <w:noProof/>
                <w:lang w:eastAsia="en-GB"/>
              </w:rPr>
              <mc:AlternateContent>
                <mc:Choice Requires="wps">
                  <w:drawing>
                    <wp:anchor distT="0" distB="0" distL="114300" distR="114300" simplePos="0" relativeHeight="251680768" behindDoc="1" locked="0" layoutInCell="0" allowOverlap="0" wp14:anchorId="761957DB" wp14:editId="454C72C1">
                      <wp:simplePos x="0" y="0"/>
                      <wp:positionH relativeFrom="page">
                        <wp:align>left</wp:align>
                      </wp:positionH>
                      <wp:positionV relativeFrom="page">
                        <wp:align>top</wp:align>
                      </wp:positionV>
                      <wp:extent cx="6068695" cy="10386060"/>
                      <wp:effectExtent l="0" t="0" r="2540" b="0"/>
                      <wp:wrapNone/>
                      <wp:docPr id="12" name="BackCoverBlue"/>
                      <wp:cNvGraphicFramePr/>
                      <a:graphic xmlns:a="http://schemas.openxmlformats.org/drawingml/2006/main">
                        <a:graphicData uri="http://schemas.microsoft.com/office/word/2010/wordprocessingShape">
                          <wps:wsp>
                            <wps:cNvSpPr/>
                            <wps:spPr>
                              <a:xfrm>
                                <a:off x="0" y="0"/>
                                <a:ext cx="6068695" cy="10386060"/>
                              </a:xfrm>
                              <a:prstGeom prst="rect">
                                <a:avLst/>
                              </a:prstGeom>
                              <a:solidFill>
                                <a:srgbClr val="00B5E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100000</wp14:pctWidth>
                      </wp14:sizeRelH>
                      <wp14:sizeRelV relativeFrom="page">
                        <wp14:pctHeight>100000</wp14:pctHeight>
                      </wp14:sizeRelV>
                    </wp:anchor>
                  </w:drawing>
                </mc:Choice>
                <mc:Fallback>
                  <w:pict>
                    <v:rect id="BackCoverBlue" o:spid="_x0000_s1026" style="position:absolute;margin-left:0;margin-top:0;width:477.85pt;height:817.8pt;z-index:-251635712;visibility:visible;mso-wrap-style:square;mso-width-percent:1000;mso-height-percent:1000;mso-wrap-distance-left:9pt;mso-wrap-distance-top:0;mso-wrap-distance-right:9pt;mso-wrap-distance-bottom:0;mso-position-horizontal:left;mso-position-horizontal-relative:page;mso-position-vertical:top;mso-position-vertical-relative:page;mso-width-percent:1000;mso-height-percent:100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" o:allowincell="f" o:allowoverlap="f" fillcolor="#00b5e2" stroked="f" strokeweight="2pt">
                      <w10:wrap anchorx="page" anchory="page"/>
                    </v:rect>
                  </w:pict>
                </mc:Fallback>
              </mc:AlternateContent>
            </w:r>
          </w:p>
        </w:tc>
        <w:tc>
          <w:tcPr>
            <w:tcW w:w="3101" w:type="dxa"/>
            <w:shd w:val="clear" w:color="auto" w:fill="auto"/>
            <w:vAlign w:val="bottom"/>
          </w:tcPr>
          <w:p w:rsidR="00DE18EB" w:rsidRPr="004E1B08" w:rsidRDefault="00DE18EB" w:rsidP="00CC56EE">
            <w:pPr>
              <w:pStyle w:val="Coverfooter"/>
            </w:pPr>
          </w:p>
        </w:tc>
      </w:tr>
    </w:tbl>
    <w:p w:rsidR="00493CF1" w:rsidRPr="005137B7" w:rsidRDefault="00493CF1" w:rsidP="005137B7"/>
    <w:sectPr w:rsidR="00493CF1" w:rsidRPr="005137B7" w:rsidSect="004E43B0">
      <w:headerReference w:type="default" r:id="rId32"/>
      <w:footerReference w:type="default" r:id="rId33"/>
      <w:pgSz w:w="11906" w:h="16838"/>
      <w:pgMar w:top="1134" w:right="1440" w:bottom="851" w:left="1440" w:header="709" w:footer="284"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47C2D86" w15:done="0"/>
  <w15:commentEx w15:paraId="2CD9668E" w15:done="0"/>
  <w15:commentEx w15:paraId="2B401068" w15:done="0"/>
  <w15:commentEx w15:paraId="53C22FCF" w15:done="0"/>
  <w15:commentEx w15:paraId="5BB103B8" w15:done="0"/>
  <w15:commentEx w15:paraId="30E89CC9" w15:done="0"/>
  <w15:commentEx w15:paraId="66D396EB" w15:done="0"/>
  <w15:commentEx w15:paraId="7CFD0E2E" w15:done="0"/>
  <w15:commentEx w15:paraId="1315EFD4" w15:done="0"/>
  <w15:commentEx w15:paraId="4B9E47E5" w15:done="0"/>
  <w15:commentEx w15:paraId="2EA7FE0E" w15:done="0"/>
  <w15:commentEx w15:paraId="7DCA1B53" w15:done="0"/>
  <w15:commentEx w15:paraId="4D8740DA" w15:done="0"/>
  <w15:commentEx w15:paraId="58CFD538" w15:done="0"/>
  <w15:commentEx w15:paraId="3833A002"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47C2D86" w16cid:durableId="1D133797"/>
  <w16cid:commentId w16cid:paraId="2CD9668E" w16cid:durableId="1D13379A"/>
  <w16cid:commentId w16cid:paraId="53C22FCF" w16cid:durableId="1D13379C"/>
  <w16cid:commentId w16cid:paraId="5BB103B8" w16cid:durableId="1D13379D"/>
  <w16cid:commentId w16cid:paraId="30E89CC9" w16cid:durableId="1D13379E"/>
  <w16cid:commentId w16cid:paraId="66D396EB" w16cid:durableId="1D13379F"/>
  <w16cid:commentId w16cid:paraId="7CFD0E2E" w16cid:durableId="1D1337A2"/>
  <w16cid:commentId w16cid:paraId="1315EFD4" w16cid:durableId="1D1337A3"/>
  <w16cid:commentId w16cid:paraId="4B9E47E5" w16cid:durableId="1D1337A4"/>
  <w16cid:commentId w16cid:paraId="2EA7FE0E" w16cid:durableId="1D1337A6"/>
  <w16cid:commentId w16cid:paraId="7DCA1B53" w16cid:durableId="1D1337A7"/>
  <w16cid:commentId w16cid:paraId="4D8740DA" w16cid:durableId="1D1337A8"/>
  <w16cid:commentId w16cid:paraId="58CFD538" w16cid:durableId="1D1337A9"/>
  <w16cid:commentId w16cid:paraId="3833A002" w16cid:durableId="1D1337AA"/>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5B88" w:rsidRDefault="006F5B88" w:rsidP="00253171">
      <w:pPr>
        <w:spacing w:line="240" w:lineRule="auto"/>
      </w:pPr>
      <w:r>
        <w:separator/>
      </w:r>
    </w:p>
  </w:endnote>
  <w:endnote w:type="continuationSeparator" w:id="0">
    <w:p w:rsidR="006F5B88" w:rsidRDefault="006F5B88" w:rsidP="0025317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44D7" w:rsidRDefault="009144D7"/>
  <w:tbl>
    <w:tblPr>
      <w:tblStyle w:val="Plaingrid"/>
      <w:tblW w:w="5000" w:type="pct"/>
      <w:tblLook w:val="04A0" w:firstRow="1" w:lastRow="0" w:firstColumn="1" w:lastColumn="0" w:noHBand="0" w:noVBand="1"/>
    </w:tblPr>
    <w:tblGrid>
      <w:gridCol w:w="5670"/>
      <w:gridCol w:w="3464"/>
    </w:tblGrid>
    <w:tr w:rsidR="009144D7" w:rsidTr="000364E3">
      <w:tc>
        <w:tcPr>
          <w:tcW w:w="5670" w:type="dxa"/>
        </w:tcPr>
        <w:p w:rsidR="009144D7" w:rsidRPr="00166D71" w:rsidRDefault="006F5B88" w:rsidP="00166D71">
          <w:pPr>
            <w:pStyle w:val="Footer"/>
          </w:pPr>
          <w:fldSimple w:instr=" DOCPROPERTY  PreparedFor \* MERGEFORMAT ">
            <w:r w:rsidR="009144D7">
              <w:t xml:space="preserve"> </w:t>
            </w:r>
          </w:fldSimple>
          <w:r w:rsidR="009144D7">
            <w:t xml:space="preserve"> </w:t>
          </w:r>
          <w:r w:rsidR="009144D7">
            <w:fldChar w:fldCharType="begin"/>
          </w:r>
          <w:r w:rsidR="009144D7">
            <w:instrText xml:space="preserve"> DOCPROPERTY  ClientName \* MERGEFORMAT </w:instrText>
          </w:r>
          <w:r w:rsidR="009144D7">
            <w:fldChar w:fldCharType="end"/>
          </w:r>
          <w:r w:rsidR="009144D7" w:rsidRPr="00166D71">
            <w:t xml:space="preserve">  </w:t>
          </w:r>
          <w:fldSimple w:instr=" DOCPROPERTY  ClientNumber \* MERGEFORMAT ">
            <w:r w:rsidR="009144D7">
              <w:t xml:space="preserve"> </w:t>
            </w:r>
          </w:fldSimple>
        </w:p>
        <w:p w:rsidR="009144D7" w:rsidRDefault="009144D7" w:rsidP="00C2143D">
          <w:pPr>
            <w:pStyle w:val="Footer"/>
          </w:pPr>
          <w:r>
            <w:fldChar w:fldCharType="begin"/>
          </w:r>
          <w:r>
            <w:instrText xml:space="preserve"> if </w:instrText>
          </w:r>
          <w:fldSimple w:instr=" DOCPROPERTY  ShowFilePath \* MERGEFORMAT ">
            <w:r>
              <w:instrText>0</w:instrText>
            </w:r>
          </w:fldSimple>
          <w:r>
            <w:instrText xml:space="preserve">  = 1  </w:instrText>
          </w:r>
          <w:fldSimple w:instr=" FILENAME \p   \* MERGEFORMAT ">
            <w:r>
              <w:instrText>Document2</w:instrText>
            </w:r>
          </w:fldSimple>
          <w:r>
            <w:instrText xml:space="preserve">  </w:instrText>
          </w:r>
          <w:r>
            <w:fldChar w:fldCharType="end"/>
          </w:r>
          <w:r>
            <w:fldChar w:fldCharType="begin"/>
          </w:r>
          <w:r>
            <w:instrText xml:space="preserve"> if </w:instrText>
          </w:r>
          <w:fldSimple w:instr=" DOCPROPERTY  ShowFileName \* MERGEFORMAT ">
            <w:r>
              <w:instrText>0</w:instrText>
            </w:r>
          </w:fldSimple>
          <w:r>
            <w:instrText xml:space="preserve">  = 1  </w:instrText>
          </w:r>
          <w:fldSimple w:instr=" FILENAME   \* MERGEFORMAT ">
            <w:r>
              <w:instrText>C:\Data\Word97\Template\Aecom\Aecom_Letter.Dotm</w:instrText>
            </w:r>
          </w:fldSimple>
          <w:r>
            <w:instrText xml:space="preserve">  </w:instrText>
          </w:r>
          <w:r>
            <w:fldChar w:fldCharType="end"/>
          </w:r>
        </w:p>
      </w:tc>
      <w:tc>
        <w:tcPr>
          <w:tcW w:w="3464" w:type="dxa"/>
          <w:vAlign w:val="bottom"/>
        </w:tcPr>
        <w:p w:rsidR="009144D7" w:rsidRDefault="009144D7" w:rsidP="00F044DD">
          <w:pPr>
            <w:pStyle w:val="Footer"/>
            <w:jc w:val="right"/>
          </w:pPr>
          <w:r>
            <w:t>AECOM</w:t>
          </w:r>
          <w:r w:rsidRPr="00166D71">
            <w:fldChar w:fldCharType="begin"/>
          </w:r>
          <w:r w:rsidRPr="00166D71">
            <w:instrText xml:space="preserve"> if </w:instrText>
          </w:r>
          <w:r>
            <w:fldChar w:fldCharType="begin"/>
          </w:r>
          <w:r>
            <w:instrText xml:space="preserve"> DOCPROPERTY  AdditionalCompanyName </w:instrText>
          </w:r>
          <w:r>
            <w:fldChar w:fldCharType="end"/>
          </w:r>
          <w:r w:rsidRPr="00166D71">
            <w:instrText xml:space="preserve">  = </w:instrText>
          </w:r>
          <w:r>
            <w:instrText xml:space="preserve">"" "" "  </w:instrText>
          </w:r>
          <w:r>
            <w:rPr>
              <w:rFonts w:cstheme="minorHAnsi"/>
            </w:rPr>
            <w:instrText>|</w:instrText>
          </w:r>
          <w:r>
            <w:instrText xml:space="preserve">  "</w:instrText>
          </w:r>
          <w:r w:rsidRPr="00166D71">
            <w:fldChar w:fldCharType="end"/>
          </w:r>
          <w:r>
            <w:fldChar w:fldCharType="begin"/>
          </w:r>
          <w:r>
            <w:instrText xml:space="preserve"> DOCPROPERTY  AdditionalCompanyName \* MERGEFORMAT </w:instrText>
          </w:r>
          <w:r>
            <w:fldChar w:fldCharType="end"/>
          </w:r>
        </w:p>
        <w:p w:rsidR="009144D7" w:rsidRPr="00725883" w:rsidRDefault="009144D7" w:rsidP="00F044DD">
          <w:pPr>
            <w:pStyle w:val="Footer"/>
            <w:jc w:val="right"/>
          </w:pPr>
        </w:p>
      </w:tc>
    </w:tr>
  </w:tbl>
  <w:p w:rsidR="009144D7" w:rsidRDefault="009144D7" w:rsidP="00493CF1">
    <w:pPr>
      <w:pStyle w:val="Footer"/>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44D7" w:rsidRDefault="009144D7"/>
  <w:tbl>
    <w:tblPr>
      <w:tblStyle w:val="Plaingrid"/>
      <w:tblW w:w="5000" w:type="pct"/>
      <w:tblLook w:val="04A0" w:firstRow="1" w:lastRow="0" w:firstColumn="1" w:lastColumn="0" w:noHBand="0" w:noVBand="1"/>
    </w:tblPr>
    <w:tblGrid>
      <w:gridCol w:w="5670"/>
      <w:gridCol w:w="3464"/>
    </w:tblGrid>
    <w:tr w:rsidR="009144D7" w:rsidTr="000364E3">
      <w:tc>
        <w:tcPr>
          <w:tcW w:w="5670" w:type="dxa"/>
        </w:tcPr>
        <w:p w:rsidR="009144D7" w:rsidRPr="00166D71" w:rsidRDefault="006F5B88" w:rsidP="00166D71">
          <w:pPr>
            <w:pStyle w:val="Footer"/>
          </w:pPr>
          <w:fldSimple w:instr=" DOCPROPERTY  PreparedFor \* MERGEFORMAT ">
            <w:r w:rsidR="009144D7">
              <w:t xml:space="preserve"> </w:t>
            </w:r>
          </w:fldSimple>
          <w:r w:rsidR="009144D7">
            <w:t xml:space="preserve"> </w:t>
          </w:r>
          <w:r w:rsidR="009144D7">
            <w:fldChar w:fldCharType="begin"/>
          </w:r>
          <w:r w:rsidR="009144D7">
            <w:instrText xml:space="preserve"> DOCPROPERTY  ClientName \* MERGEFORMAT </w:instrText>
          </w:r>
          <w:r w:rsidR="009144D7">
            <w:fldChar w:fldCharType="end"/>
          </w:r>
          <w:r w:rsidR="009144D7" w:rsidRPr="00166D71">
            <w:t xml:space="preserve">  </w:t>
          </w:r>
          <w:fldSimple w:instr=" DOCPROPERTY  ClientNumber \* MERGEFORMAT ">
            <w:r w:rsidR="009144D7">
              <w:t xml:space="preserve"> </w:t>
            </w:r>
          </w:fldSimple>
        </w:p>
        <w:p w:rsidR="009144D7" w:rsidRDefault="009144D7" w:rsidP="00C2143D">
          <w:pPr>
            <w:pStyle w:val="Footer"/>
          </w:pPr>
          <w:r>
            <w:fldChar w:fldCharType="begin"/>
          </w:r>
          <w:r>
            <w:instrText xml:space="preserve"> if </w:instrText>
          </w:r>
          <w:fldSimple w:instr=" DOCPROPERTY  ShowFilePath \* MERGEFORMAT ">
            <w:r>
              <w:instrText>0</w:instrText>
            </w:r>
          </w:fldSimple>
          <w:r>
            <w:instrText xml:space="preserve">  = 1  </w:instrText>
          </w:r>
          <w:fldSimple w:instr=" FILENAME \p  \* MERGEFORMAT ">
            <w:r>
              <w:instrText>Document2</w:instrText>
            </w:r>
          </w:fldSimple>
          <w:r>
            <w:instrText xml:space="preserve">  </w:instrText>
          </w:r>
          <w:r>
            <w:fldChar w:fldCharType="end"/>
          </w:r>
          <w:r>
            <w:fldChar w:fldCharType="begin"/>
          </w:r>
          <w:r>
            <w:instrText xml:space="preserve"> if </w:instrText>
          </w:r>
          <w:fldSimple w:instr=" DOCPROPERTY  ShowFileName \* MERGEFORMAT ">
            <w:r>
              <w:instrText>0</w:instrText>
            </w:r>
          </w:fldSimple>
          <w:r>
            <w:instrText xml:space="preserve">  = 1  </w:instrText>
          </w:r>
          <w:fldSimple w:instr=" FILENAME   \* MERGEFORMAT ">
            <w:r>
              <w:instrText>C:\Data\Word97\Template\Aecom\Aecom_Letter.Dotm</w:instrText>
            </w:r>
          </w:fldSimple>
          <w:r>
            <w:instrText xml:space="preserve">  </w:instrText>
          </w:r>
          <w:r>
            <w:fldChar w:fldCharType="end"/>
          </w:r>
        </w:p>
      </w:tc>
      <w:tc>
        <w:tcPr>
          <w:tcW w:w="3464" w:type="dxa"/>
          <w:vAlign w:val="bottom"/>
        </w:tcPr>
        <w:p w:rsidR="009144D7" w:rsidRDefault="009144D7" w:rsidP="000364E3">
          <w:pPr>
            <w:pStyle w:val="Footer"/>
            <w:jc w:val="right"/>
          </w:pPr>
          <w:r>
            <w:t>AECOM</w:t>
          </w:r>
          <w:r w:rsidRPr="00166D71">
            <w:fldChar w:fldCharType="begin"/>
          </w:r>
          <w:r w:rsidRPr="00166D71">
            <w:instrText xml:space="preserve"> if </w:instrText>
          </w:r>
          <w:r>
            <w:fldChar w:fldCharType="begin"/>
          </w:r>
          <w:r>
            <w:instrText xml:space="preserve"> DOCPROPERTY  AdditionalCompanyName </w:instrText>
          </w:r>
          <w:r>
            <w:fldChar w:fldCharType="end"/>
          </w:r>
          <w:r w:rsidRPr="00166D71">
            <w:instrText xml:space="preserve">  = </w:instrText>
          </w:r>
          <w:r>
            <w:instrText xml:space="preserve">"" "" "  </w:instrText>
          </w:r>
          <w:r>
            <w:rPr>
              <w:rFonts w:cstheme="minorHAnsi"/>
            </w:rPr>
            <w:instrText>|</w:instrText>
          </w:r>
          <w:r>
            <w:instrText xml:space="preserve">  "</w:instrText>
          </w:r>
          <w:r w:rsidRPr="00166D71">
            <w:fldChar w:fldCharType="end"/>
          </w:r>
          <w:r>
            <w:fldChar w:fldCharType="begin"/>
          </w:r>
          <w:r>
            <w:instrText xml:space="preserve"> DOCPROPERTY  AdditionalCompanyName \* MERGEFORMAT </w:instrText>
          </w:r>
          <w:r>
            <w:fldChar w:fldCharType="end"/>
          </w:r>
        </w:p>
        <w:p w:rsidR="009144D7" w:rsidRPr="00725883" w:rsidRDefault="009144D7" w:rsidP="00A608EB">
          <w:pPr>
            <w:pStyle w:val="Footer"/>
            <w:jc w:val="right"/>
          </w:pPr>
          <w:r>
            <w:fldChar w:fldCharType="begin"/>
          </w:r>
          <w:r>
            <w:instrText xml:space="preserve"> page </w:instrText>
          </w:r>
          <w:r>
            <w:fldChar w:fldCharType="separate"/>
          </w:r>
          <w:r w:rsidR="008D2376">
            <w:t>58</w:t>
          </w:r>
          <w:r>
            <w:fldChar w:fldCharType="end"/>
          </w:r>
        </w:p>
      </w:tc>
    </w:tr>
  </w:tbl>
  <w:p w:rsidR="009144D7" w:rsidRDefault="009144D7" w:rsidP="00493CF1">
    <w:pPr>
      <w:pStyle w:val="Foote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5B88" w:rsidRPr="00253171" w:rsidRDefault="006F5B88" w:rsidP="00253171">
      <w:pPr>
        <w:spacing w:line="240" w:lineRule="auto"/>
        <w:rPr>
          <w:color w:val="00B5E2" w:themeColor="accent1"/>
        </w:rPr>
      </w:pPr>
      <w:r w:rsidRPr="00253171">
        <w:rPr>
          <w:color w:val="00B5E2" w:themeColor="accent1"/>
        </w:rPr>
        <w:separator/>
      </w:r>
      <w:r w:rsidRPr="00253171">
        <w:rPr>
          <w:color w:val="00B5E2" w:themeColor="accent1"/>
        </w:rPr>
        <w:separator/>
      </w:r>
    </w:p>
  </w:footnote>
  <w:footnote w:type="continuationSeparator" w:id="0">
    <w:p w:rsidR="006F5B88" w:rsidRPr="00253171" w:rsidRDefault="006F5B88" w:rsidP="00253171">
      <w:pPr>
        <w:spacing w:line="240" w:lineRule="auto"/>
        <w:rPr>
          <w:color w:val="00B5E2" w:themeColor="accent1"/>
        </w:rPr>
      </w:pPr>
      <w:r w:rsidRPr="00253171">
        <w:rPr>
          <w:color w:val="00B5E2" w:themeColor="accent1"/>
        </w:rPr>
        <w:separator/>
      </w:r>
      <w:r w:rsidRPr="00253171">
        <w:rPr>
          <w:color w:val="00B5E2" w:themeColor="accent1"/>
        </w:rPr>
        <w:separator/>
      </w:r>
    </w:p>
  </w:footnote>
  <w:footnote w:id="1">
    <w:p w:rsidR="009144D7" w:rsidRDefault="009144D7">
      <w:pPr>
        <w:pStyle w:val="FootnoteText"/>
      </w:pPr>
      <w:r>
        <w:rPr>
          <w:rStyle w:val="FootnoteReference"/>
        </w:rPr>
        <w:footnoteRef/>
      </w:r>
      <w:r>
        <w:t xml:space="preserve"> </w:t>
      </w:r>
      <w:proofErr w:type="spellStart"/>
      <w:r>
        <w:rPr>
          <w:lang w:val="en-US"/>
        </w:rPr>
        <w:t>Chichester</w:t>
      </w:r>
      <w:proofErr w:type="spellEnd"/>
      <w:r>
        <w:rPr>
          <w:lang w:val="en-US"/>
        </w:rPr>
        <w:t xml:space="preserve"> Local Plan, page 56</w:t>
      </w:r>
    </w:p>
  </w:footnote>
  <w:footnote w:id="2">
    <w:p w:rsidR="009144D7" w:rsidRPr="00B25544" w:rsidRDefault="009144D7" w:rsidP="00B50BCE">
      <w:pPr>
        <w:pStyle w:val="FootnoteText"/>
        <w:rPr>
          <w:sz w:val="18"/>
          <w:szCs w:val="18"/>
        </w:rPr>
      </w:pPr>
      <w:r w:rsidRPr="00B25544">
        <w:rPr>
          <w:rStyle w:val="FootnoteReference"/>
          <w:sz w:val="18"/>
          <w:szCs w:val="18"/>
        </w:rPr>
        <w:footnoteRef/>
      </w:r>
      <w:r w:rsidRPr="00B25544">
        <w:rPr>
          <w:sz w:val="18"/>
          <w:szCs w:val="18"/>
        </w:rPr>
        <w:t xml:space="preserve"> </w:t>
      </w:r>
      <w:r w:rsidRPr="00B25544">
        <w:rPr>
          <w:rFonts w:ascii="Arial" w:hAnsi="Arial" w:cs="Arial"/>
          <w:sz w:val="18"/>
          <w:szCs w:val="18"/>
        </w:rPr>
        <w:t>See Planning Practice Guidance Paragraph: 006 Reference ID: 2a-006-20140306</w:t>
      </w:r>
    </w:p>
  </w:footnote>
  <w:footnote w:id="3">
    <w:p w:rsidR="009144D7" w:rsidRPr="00B25544" w:rsidRDefault="009144D7">
      <w:pPr>
        <w:pStyle w:val="FootnoteText"/>
        <w:rPr>
          <w:sz w:val="18"/>
          <w:szCs w:val="18"/>
        </w:rPr>
      </w:pPr>
      <w:r w:rsidRPr="00B25544">
        <w:rPr>
          <w:rStyle w:val="FootnoteReference"/>
          <w:sz w:val="18"/>
          <w:szCs w:val="18"/>
        </w:rPr>
        <w:footnoteRef/>
      </w:r>
      <w:r w:rsidRPr="00B25544">
        <w:rPr>
          <w:sz w:val="18"/>
          <w:szCs w:val="18"/>
        </w:rPr>
        <w:t xml:space="preserve"> See Planning Practice Guidance, Paragraph: 004 Reference ID: 2a-004-20140306 Revision date: 06 03 2014</w:t>
      </w:r>
    </w:p>
  </w:footnote>
  <w:footnote w:id="4">
    <w:p w:rsidR="009144D7" w:rsidRPr="00A96D26" w:rsidRDefault="009144D7" w:rsidP="000A1903">
      <w:pPr>
        <w:pStyle w:val="FootnoteText"/>
        <w:rPr>
          <w:color w:val="FF0000"/>
        </w:rPr>
      </w:pPr>
      <w:r w:rsidRPr="00B25544">
        <w:rPr>
          <w:rStyle w:val="FootnoteReference"/>
          <w:sz w:val="18"/>
          <w:szCs w:val="18"/>
        </w:rPr>
        <w:footnoteRef/>
      </w:r>
      <w:r w:rsidRPr="00B25544">
        <w:rPr>
          <w:sz w:val="18"/>
          <w:szCs w:val="18"/>
        </w:rPr>
        <w:t xml:space="preserve"> Such an approach, clearly separating housing need assessment from dwelling capacity assessment, was endorsed by the Government for calculating housing need at local authority level in the ministerial statement and press release ‘Councils must protect our precious green belt land’ (</w:t>
      </w:r>
      <w:r w:rsidR="00B25544">
        <w:rPr>
          <w:sz w:val="18"/>
          <w:szCs w:val="18"/>
        </w:rPr>
        <w:t>MHCLG</w:t>
      </w:r>
      <w:r w:rsidRPr="00B25544">
        <w:rPr>
          <w:sz w:val="18"/>
          <w:szCs w:val="18"/>
        </w:rPr>
        <w:t xml:space="preserve">, 4 October 2014, available at </w:t>
      </w:r>
      <w:hyperlink r:id="rId1" w:history="1">
        <w:r w:rsidRPr="00B25544">
          <w:rPr>
            <w:rStyle w:val="Hyperlink"/>
            <w:rFonts w:ascii="Arial" w:hAnsi="Arial" w:cs="Arial"/>
            <w:color w:val="auto"/>
            <w:sz w:val="18"/>
            <w:szCs w:val="18"/>
          </w:rPr>
          <w:t>https://www.gov.uk/government/news/councils-must-protect-our-precious-green-belt-land</w:t>
        </w:r>
      </w:hyperlink>
      <w:r w:rsidRPr="00B25544">
        <w:rPr>
          <w:sz w:val="18"/>
          <w:szCs w:val="18"/>
        </w:rPr>
        <w:t>)</w:t>
      </w:r>
    </w:p>
  </w:footnote>
  <w:footnote w:id="5">
    <w:p w:rsidR="009144D7" w:rsidRDefault="009144D7">
      <w:pPr>
        <w:pStyle w:val="FootnoteText"/>
      </w:pPr>
      <w:r>
        <w:rPr>
          <w:rStyle w:val="FootnoteReference"/>
        </w:rPr>
        <w:footnoteRef/>
      </w:r>
      <w:r>
        <w:t xml:space="preserve"> </w:t>
      </w:r>
      <w:r w:rsidRPr="00605F8C">
        <w:rPr>
          <w:rFonts w:ascii="Arial" w:hAnsi="Arial" w:cs="Arial"/>
          <w:szCs w:val="16"/>
        </w:rPr>
        <w:t>Housing LIN (2011) Strategic Housing for Older People: Planning, designing and delivering housing that older people want, available online at: http://www.housinglin.org.uk/_library/Resources/Housing/SHOP/SHOPResourcePack.pdf</w:t>
      </w:r>
    </w:p>
  </w:footnote>
  <w:footnote w:id="6">
    <w:p w:rsidR="009144D7" w:rsidRDefault="009144D7">
      <w:pPr>
        <w:pStyle w:val="FootnoteText"/>
      </w:pPr>
      <w:r>
        <w:rPr>
          <w:rStyle w:val="FootnoteReference"/>
        </w:rPr>
        <w:footnoteRef/>
      </w:r>
      <w:r>
        <w:t xml:space="preserve"> CWSS12 page 42</w:t>
      </w:r>
    </w:p>
  </w:footnote>
  <w:footnote w:id="7">
    <w:p w:rsidR="009144D7" w:rsidRPr="00357560" w:rsidRDefault="009144D7" w:rsidP="00D25C66">
      <w:pPr>
        <w:pStyle w:val="FootnoteText"/>
      </w:pPr>
      <w:r>
        <w:rPr>
          <w:rStyle w:val="FootnoteReference"/>
        </w:rPr>
        <w:footnoteRef/>
      </w:r>
      <w:r>
        <w:t xml:space="preserve"> </w:t>
      </w:r>
      <w:r w:rsidRPr="00357560">
        <w:t>Planning Practice Guidance Paragraph: 010 Reference ID: 2a-010-20140306 Revision date: 06 03 2014</w:t>
      </w:r>
    </w:p>
  </w:footnote>
  <w:footnote w:id="8">
    <w:p w:rsidR="009144D7" w:rsidRPr="00D47689" w:rsidRDefault="009144D7" w:rsidP="00D25C66">
      <w:pPr>
        <w:pStyle w:val="FootnoteText"/>
      </w:pPr>
      <w:r>
        <w:rPr>
          <w:rStyle w:val="FootnoteReference"/>
        </w:rPr>
        <w:footnoteRef/>
      </w:r>
      <w:r>
        <w:t xml:space="preserve"> </w:t>
      </w:r>
      <w:r w:rsidRPr="00D47689">
        <w:t>Planning Practice Guidance Paragraph: 008 Reference ID: 2a-008-20140306 Revision date: 06 03 2014</w:t>
      </w:r>
    </w:p>
  </w:footnote>
  <w:footnote w:id="9">
    <w:p w:rsidR="009144D7" w:rsidRDefault="009144D7">
      <w:pPr>
        <w:pStyle w:val="FootnoteText"/>
      </w:pPr>
      <w:r>
        <w:rPr>
          <w:rStyle w:val="FootnoteReference"/>
        </w:rPr>
        <w:footnoteRef/>
      </w:r>
      <w:r>
        <w:t xml:space="preserve"> CWSS12 page 44</w:t>
      </w:r>
    </w:p>
  </w:footnote>
  <w:footnote w:id="10">
    <w:p w:rsidR="009144D7" w:rsidRDefault="009144D7" w:rsidP="00654232">
      <w:pPr>
        <w:pStyle w:val="FootnoteText"/>
      </w:pPr>
      <w:r>
        <w:rPr>
          <w:rStyle w:val="FootnoteReference"/>
        </w:rPr>
        <w:footnoteRef/>
      </w:r>
      <w:r>
        <w:t xml:space="preserve"> </w:t>
      </w:r>
      <w:r w:rsidRPr="001062C2">
        <w:rPr>
          <w:rFonts w:ascii="Arial" w:hAnsi="Arial" w:cs="Arial"/>
          <w:sz w:val="18"/>
          <w:szCs w:val="18"/>
        </w:rPr>
        <w:t>The OAN includes the baseline demographic need, plus any adjustments made to official forecasts to account for projected rates of household formation post 2021, past suppression of the formation of new households, the effect of past under-supply, employment forecasts, market signals and affordable housing need (as set out in paragraph ID2a-004 of the PPG).  This is sometimes described as ‘policy off’ because it does not take account of final policy responses as a result of taking into account capacity, environmental and infrastructure constraints.</w:t>
      </w:r>
    </w:p>
  </w:footnote>
  <w:footnote w:id="11">
    <w:p w:rsidR="009144D7" w:rsidRDefault="009144D7">
      <w:pPr>
        <w:pStyle w:val="FootnoteText"/>
      </w:pPr>
      <w:r>
        <w:rPr>
          <w:rStyle w:val="FootnoteReference"/>
        </w:rPr>
        <w:footnoteRef/>
      </w:r>
      <w:r>
        <w:t xml:space="preserve"> </w:t>
      </w:r>
      <w:r w:rsidRPr="00481B5F">
        <w:t xml:space="preserve">Review of Objectively Assessed Housing Need in light of 2012-based Subnational Population Projections, Chichester </w:t>
      </w:r>
      <w:r>
        <w:t>District</w:t>
      </w:r>
      <w:r w:rsidRPr="00481B5F">
        <w:t xml:space="preserve"> Council, August 2014</w:t>
      </w:r>
      <w:r>
        <w:t>, page 8</w:t>
      </w:r>
    </w:p>
  </w:footnote>
  <w:footnote w:id="12">
    <w:p w:rsidR="009144D7" w:rsidRPr="008B7FBB" w:rsidRDefault="009144D7" w:rsidP="00654232">
      <w:pPr>
        <w:pStyle w:val="FootnoteText"/>
        <w:rPr>
          <w:rFonts w:ascii="Arial" w:hAnsi="Arial" w:cs="Arial"/>
        </w:rPr>
      </w:pPr>
      <w:r w:rsidRPr="008B7FBB">
        <w:rPr>
          <w:rStyle w:val="FootnoteReference"/>
          <w:rFonts w:ascii="Arial" w:hAnsi="Arial"/>
        </w:rPr>
        <w:footnoteRef/>
      </w:r>
      <w:r w:rsidRPr="008B7FBB">
        <w:rPr>
          <w:rFonts w:ascii="Arial" w:hAnsi="Arial" w:cs="Arial"/>
        </w:rPr>
        <w:t xml:space="preserve"> See 2014-based </w:t>
      </w:r>
      <w:r w:rsidR="00B25544">
        <w:rPr>
          <w:rFonts w:ascii="Arial" w:hAnsi="Arial" w:cs="Arial"/>
        </w:rPr>
        <w:t>MHCLG</w:t>
      </w:r>
      <w:r w:rsidRPr="008B7FBB">
        <w:rPr>
          <w:rFonts w:ascii="Arial" w:hAnsi="Arial" w:cs="Arial"/>
        </w:rPr>
        <w:t xml:space="preserve"> Household Projections live tables at https://www.gov.uk/government/statistical-data-sets/live-tables-on-household-projections</w:t>
      </w:r>
    </w:p>
  </w:footnote>
  <w:footnote w:id="13">
    <w:p w:rsidR="009144D7" w:rsidRPr="00ED2CE5" w:rsidRDefault="009144D7" w:rsidP="00654232">
      <w:pPr>
        <w:pStyle w:val="FootnoteText"/>
      </w:pPr>
      <w:r>
        <w:rPr>
          <w:rStyle w:val="FootnoteReference"/>
        </w:rPr>
        <w:footnoteRef/>
      </w:r>
      <w:r>
        <w:t xml:space="preserve"> Email from AREA Borough Council, 14/02/17</w:t>
      </w:r>
    </w:p>
  </w:footnote>
  <w:footnote w:id="14">
    <w:p w:rsidR="002075C9" w:rsidRDefault="002075C9">
      <w:pPr>
        <w:pStyle w:val="FootnoteText"/>
      </w:pPr>
      <w:r>
        <w:rPr>
          <w:rStyle w:val="FootnoteReference"/>
        </w:rPr>
        <w:footnoteRef/>
      </w:r>
      <w:r>
        <w:t xml:space="preserve"> MHCLG, </w:t>
      </w:r>
      <w:r w:rsidRPr="00E37D86">
        <w:rPr>
          <w:u w:val="single"/>
        </w:rPr>
        <w:t>planning for the right homes in the right places: consultation proposals</w:t>
      </w:r>
      <w:r>
        <w:t>, page 28</w:t>
      </w:r>
    </w:p>
  </w:footnote>
  <w:footnote w:id="15">
    <w:p w:rsidR="009144D7" w:rsidRDefault="009144D7" w:rsidP="00654232">
      <w:pPr>
        <w:pStyle w:val="FootnoteText"/>
      </w:pPr>
      <w:r>
        <w:rPr>
          <w:rStyle w:val="FootnoteReference"/>
        </w:rPr>
        <w:footnoteRef/>
      </w:r>
      <w:r>
        <w:t xml:space="preserve"> </w:t>
      </w:r>
      <w:r w:rsidR="00B25544">
        <w:t>MHCLG</w:t>
      </w:r>
      <w:r>
        <w:t xml:space="preserve">, </w:t>
      </w:r>
      <w:r w:rsidRPr="00E37D86">
        <w:rPr>
          <w:u w:val="single"/>
        </w:rPr>
        <w:t>planning for the right homes in the right places: consultation proposals</w:t>
      </w:r>
      <w:r>
        <w:t>, page 31</w:t>
      </w:r>
    </w:p>
  </w:footnote>
  <w:footnote w:id="16">
    <w:p w:rsidR="009144D7" w:rsidRDefault="009144D7" w:rsidP="0028000E">
      <w:pPr>
        <w:pStyle w:val="FootnoteText"/>
      </w:pPr>
      <w:r w:rsidRPr="001B4D89">
        <w:rPr>
          <w:rStyle w:val="FootnoteReference"/>
          <w:rFonts w:ascii="Arial" w:hAnsi="Arial" w:cs="Arial"/>
        </w:rPr>
        <w:footnoteRef/>
      </w:r>
      <w:r w:rsidRPr="001B4D89">
        <w:rPr>
          <w:rFonts w:ascii="Arial" w:hAnsi="Arial" w:cs="Arial"/>
        </w:rPr>
        <w:t xml:space="preserve"> PPG </w:t>
      </w:r>
      <w:r w:rsidRPr="001B4D89">
        <w:rPr>
          <w:rFonts w:ascii="Arial" w:hAnsi="Arial" w:cs="Arial"/>
          <w:color w:val="0B0C0C"/>
          <w:shd w:val="clear" w:color="auto" w:fill="FFFFFF"/>
        </w:rPr>
        <w:t>Paragraph: 021 Reference ID: 2a-021-20160401</w:t>
      </w:r>
    </w:p>
  </w:footnote>
  <w:footnote w:id="17">
    <w:p w:rsidR="009144D7" w:rsidRPr="005D04BF" w:rsidRDefault="009144D7" w:rsidP="0028000E">
      <w:pPr>
        <w:pStyle w:val="FootnoteText"/>
      </w:pPr>
      <w:r>
        <w:rPr>
          <w:rStyle w:val="FootnoteReference"/>
        </w:rPr>
        <w:footnoteRef/>
      </w:r>
      <w:r>
        <w:t xml:space="preserve"> </w:t>
      </w:r>
      <w:r w:rsidRPr="001366DF">
        <w:t>Housing and Planning Act 2016, part 6, section 159 (4)</w:t>
      </w:r>
    </w:p>
  </w:footnote>
  <w:footnote w:id="18">
    <w:p w:rsidR="009144D7" w:rsidRPr="005D04BF" w:rsidRDefault="009144D7" w:rsidP="0028000E">
      <w:pPr>
        <w:pStyle w:val="FootnoteText"/>
      </w:pPr>
      <w:r>
        <w:rPr>
          <w:rStyle w:val="FootnoteReference"/>
        </w:rPr>
        <w:footnoteRef/>
      </w:r>
      <w:r>
        <w:t xml:space="preserve"> </w:t>
      </w:r>
      <w:r w:rsidRPr="001366DF">
        <w:t>Section 159(2) of the Act inserts ‘(3ZB) No regulations may be made under section 106ZB [which contains the updated definition of affordable housing] unless a draft of the instrument containing the regulations has been laid before, and approved by a resolution of, each House of Parliament’</w:t>
      </w:r>
    </w:p>
  </w:footnote>
  <w:footnote w:id="19">
    <w:p w:rsidR="009144D7" w:rsidRPr="005D04BF" w:rsidRDefault="009144D7" w:rsidP="0028000E">
      <w:pPr>
        <w:pStyle w:val="FootnoteText"/>
      </w:pPr>
      <w:r>
        <w:rPr>
          <w:rStyle w:val="FootnoteReference"/>
        </w:rPr>
        <w:footnoteRef/>
      </w:r>
      <w:r>
        <w:t xml:space="preserve"> </w:t>
      </w:r>
      <w:r w:rsidR="00B25544">
        <w:t>MHCLG</w:t>
      </w:r>
      <w:r>
        <w:t xml:space="preserve"> (2017) Fixing our Broken Housing Market (para A.120)</w:t>
      </w:r>
    </w:p>
  </w:footnote>
  <w:footnote w:id="20">
    <w:p w:rsidR="009144D7" w:rsidRPr="005D04BF" w:rsidRDefault="009144D7" w:rsidP="0028000E">
      <w:pPr>
        <w:pStyle w:val="FootnoteText"/>
      </w:pPr>
      <w:r>
        <w:rPr>
          <w:rStyle w:val="FootnoteReference"/>
        </w:rPr>
        <w:footnoteRef/>
      </w:r>
      <w:r>
        <w:t xml:space="preserve"> Ibid (p100)</w:t>
      </w:r>
    </w:p>
  </w:footnote>
  <w:footnote w:id="21">
    <w:p w:rsidR="009144D7" w:rsidRDefault="009144D7">
      <w:pPr>
        <w:pStyle w:val="FootnoteText"/>
      </w:pPr>
      <w:r>
        <w:rPr>
          <w:rStyle w:val="FootnoteReference"/>
        </w:rPr>
        <w:footnoteRef/>
      </w:r>
      <w:r>
        <w:t xml:space="preserve"> </w:t>
      </w:r>
      <w:r w:rsidRPr="0052332B">
        <w:rPr>
          <w:lang w:val="en-US"/>
        </w:rPr>
        <w:t>ROANH14</w:t>
      </w:r>
      <w:r>
        <w:rPr>
          <w:lang w:val="en-US"/>
        </w:rPr>
        <w:t>, page 24</w:t>
      </w:r>
    </w:p>
  </w:footnote>
  <w:footnote w:id="22">
    <w:p w:rsidR="009144D7" w:rsidRDefault="009144D7">
      <w:pPr>
        <w:pStyle w:val="FootnoteText"/>
      </w:pPr>
      <w:r>
        <w:rPr>
          <w:rStyle w:val="FootnoteReference"/>
        </w:rPr>
        <w:footnoteRef/>
      </w:r>
      <w:r>
        <w:t xml:space="preserve"> </w:t>
      </w:r>
      <w:r w:rsidRPr="006713D2">
        <w:t>CWSS12</w:t>
      </w:r>
      <w:r>
        <w:t>, page 44</w:t>
      </w:r>
    </w:p>
  </w:footnote>
  <w:footnote w:id="23">
    <w:p w:rsidR="009144D7" w:rsidRDefault="009144D7">
      <w:pPr>
        <w:pStyle w:val="FootnoteText"/>
      </w:pPr>
      <w:r>
        <w:rPr>
          <w:rStyle w:val="FootnoteReference"/>
        </w:rPr>
        <w:footnoteRef/>
      </w:r>
      <w:r>
        <w:t xml:space="preserve"> </w:t>
      </w:r>
      <w:r w:rsidRPr="0087026F">
        <w:rPr>
          <w:lang w:val="en-US"/>
        </w:rPr>
        <w:t>AHDNS14</w:t>
      </w:r>
      <w:r>
        <w:rPr>
          <w:lang w:val="en-US"/>
        </w:rPr>
        <w:t>, page 22</w:t>
      </w:r>
    </w:p>
  </w:footnote>
  <w:footnote w:id="24">
    <w:p w:rsidR="009144D7" w:rsidRDefault="009144D7">
      <w:pPr>
        <w:pStyle w:val="FootnoteText"/>
      </w:pPr>
      <w:r>
        <w:rPr>
          <w:rStyle w:val="FootnoteReference"/>
        </w:rPr>
        <w:footnoteRef/>
      </w:r>
      <w:r>
        <w:t xml:space="preserve"> Henry Adams, Estate Agent Questionnaire, 15/12/17</w:t>
      </w:r>
    </w:p>
  </w:footnote>
  <w:footnote w:id="25">
    <w:p w:rsidR="009144D7" w:rsidRDefault="009144D7">
      <w:pPr>
        <w:pStyle w:val="FootnoteText"/>
      </w:pPr>
      <w:r>
        <w:rPr>
          <w:rStyle w:val="FootnoteReference"/>
        </w:rPr>
        <w:footnoteRef/>
      </w:r>
      <w:r>
        <w:t xml:space="preserve"> Email dated 3</w:t>
      </w:r>
      <w:r w:rsidRPr="00EF789D">
        <w:rPr>
          <w:vertAlign w:val="superscript"/>
        </w:rPr>
        <w:t>rd</w:t>
      </w:r>
      <w:r>
        <w:t xml:space="preserve"> October from </w:t>
      </w:r>
      <w:r w:rsidRPr="00EF789D">
        <w:t xml:space="preserve">Holly Nicol, Rural Housing Enabler, Housing Delivery, Chichester </w:t>
      </w:r>
      <w:r>
        <w:t>District</w:t>
      </w:r>
      <w:r w:rsidRPr="00EF789D">
        <w:t xml:space="preserve"> Council</w:t>
      </w:r>
    </w:p>
  </w:footnote>
  <w:footnote w:id="26">
    <w:p w:rsidR="009144D7" w:rsidRPr="00AD615D" w:rsidRDefault="009144D7" w:rsidP="0021554C">
      <w:pPr>
        <w:pStyle w:val="FootnoteText"/>
        <w:rPr>
          <w:szCs w:val="16"/>
        </w:rPr>
      </w:pPr>
      <w:r>
        <w:rPr>
          <w:rStyle w:val="FootnoteReference"/>
        </w:rPr>
        <w:footnoteRef/>
      </w:r>
      <w:r>
        <w:t xml:space="preserve"> </w:t>
      </w:r>
      <w:r w:rsidRPr="00AD615D">
        <w:rPr>
          <w:szCs w:val="16"/>
        </w:rPr>
        <w:t>Sheltered housing (also known as retirement housing) means having your own flat or bungalow in a block, or on a small estate, where all the other residents are older people (usually over 55). With a few exceptions, all developments (or 'schemes') provide independent, self-contained homes with their own front doors.</w:t>
      </w:r>
      <w:r>
        <w:rPr>
          <w:szCs w:val="16"/>
        </w:rPr>
        <w:t xml:space="preserve"> </w:t>
      </w:r>
      <w:r w:rsidRPr="00AD615D">
        <w:rPr>
          <w:szCs w:val="16"/>
        </w:rPr>
        <w:t>There are many different types of scheme, both to rent and to buy. They usually contain between 15 and 40 properties, and range in size from studio flats (or 'bedsits'</w:t>
      </w:r>
      <w:r>
        <w:rPr>
          <w:szCs w:val="16"/>
        </w:rPr>
        <w:t xml:space="preserve">) through to 2 and 3 bedroomed. </w:t>
      </w:r>
      <w:r w:rsidRPr="00AD615D">
        <w:rPr>
          <w:szCs w:val="16"/>
        </w:rPr>
        <w:t>Properties in most schemes are designed to make life a little easier for older people - with features like raised electric sockets, lowered worktops, walk-in showers, and so on. Some will usually be designed to accommodate wheelchair users. And they are usually linked to an emergency alarm service (sometimes called 'community alarm se</w:t>
      </w:r>
      <w:r>
        <w:rPr>
          <w:szCs w:val="16"/>
        </w:rPr>
        <w:t xml:space="preserve">rvice') to call help if needed. </w:t>
      </w:r>
      <w:r w:rsidRPr="00AD615D">
        <w:rPr>
          <w:szCs w:val="16"/>
        </w:rPr>
        <w:t>Many schemes also have their own 'manager' or 'warden', either living on-site or nearby, whose job is to manage the scheme and help arrange any services residents need. Managed schemes will also usually have some shared or communal facilities such as a lounge for residents to meet, a laundry, a guest flat and a garden.</w:t>
      </w:r>
      <w:r>
        <w:rPr>
          <w:szCs w:val="16"/>
        </w:rPr>
        <w:t xml:space="preserve"> Source: </w:t>
      </w:r>
      <w:hyperlink r:id="rId2" w:history="1">
        <w:r w:rsidRPr="00854CDC">
          <w:rPr>
            <w:rStyle w:val="Hyperlink"/>
            <w:szCs w:val="16"/>
          </w:rPr>
          <w:t>http://www.housingcare.org/jargon-sheltered-housing.aspx</w:t>
        </w:r>
      </w:hyperlink>
      <w:r>
        <w:rPr>
          <w:szCs w:val="16"/>
        </w:rPr>
        <w:t xml:space="preserve"> (accessed 11/04/17)</w:t>
      </w:r>
    </w:p>
  </w:footnote>
  <w:footnote w:id="27">
    <w:p w:rsidR="009144D7" w:rsidRPr="00AD615D" w:rsidRDefault="009144D7" w:rsidP="0021554C">
      <w:pPr>
        <w:pStyle w:val="FootnoteText"/>
        <w:rPr>
          <w:szCs w:val="16"/>
        </w:rPr>
      </w:pPr>
      <w:r>
        <w:rPr>
          <w:rStyle w:val="FootnoteReference"/>
        </w:rPr>
        <w:footnoteRef/>
      </w:r>
      <w:r>
        <w:t xml:space="preserve"> </w:t>
      </w:r>
      <w:r w:rsidRPr="00AD615D">
        <w:rPr>
          <w:szCs w:val="16"/>
        </w:rPr>
        <w:t xml:space="preserve">New forms of sheltered housing and retirement housing have been pioneered in recent years, to cater for older people who are becoming </w:t>
      </w:r>
      <w:proofErr w:type="gramStart"/>
      <w:r w:rsidRPr="00AD615D">
        <w:rPr>
          <w:szCs w:val="16"/>
        </w:rPr>
        <w:t>more frail</w:t>
      </w:r>
      <w:proofErr w:type="gramEnd"/>
      <w:r w:rsidRPr="00AD615D">
        <w:rPr>
          <w:szCs w:val="16"/>
        </w:rPr>
        <w:t xml:space="preserve"> and less able t</w:t>
      </w:r>
      <w:r>
        <w:rPr>
          <w:szCs w:val="16"/>
        </w:rPr>
        <w:t xml:space="preserve">o do everything for themselves. </w:t>
      </w:r>
      <w:r w:rsidRPr="00AD615D">
        <w:rPr>
          <w:szCs w:val="16"/>
        </w:rPr>
        <w:t>Extra Care Housing is housing designed with the needs of frailer older people in mind and with varying levels of care and support available on site. People who live in Extra Care Housing have their own self-contained homes, their own front doors and a legal right to occupy the property. Extra Care Housing is also known as very or enhanced sheltered housing, assisted living, or simply as 'housing with care'. It comes in many built forms, including blocks of flats, bungalow estates and retirement villages. It is a popular choice among older people because it can sometimes provide</w:t>
      </w:r>
      <w:r>
        <w:rPr>
          <w:szCs w:val="16"/>
        </w:rPr>
        <w:t xml:space="preserve"> an alternative to a care home. </w:t>
      </w:r>
      <w:r w:rsidRPr="00AD615D">
        <w:rPr>
          <w:szCs w:val="16"/>
        </w:rPr>
        <w:t>In addition to the communal facilities often found in sheltered housing (residents' lounge, guest suite, laundry), Extra Care often includes a restaurant or dining room, health &amp; fitness facilities, hobby rooms and even computer rooms. Domestic support and personal care are available, usually provided by on-site staff. Properties can be rented, owned or part owned/part rented. There is a limited (though increasing) amount of Extra Care Housing in most areas and most providers set eligibility criteria which prospective residents have to meet.</w:t>
      </w:r>
      <w:r>
        <w:rPr>
          <w:szCs w:val="16"/>
        </w:rPr>
        <w:t xml:space="preserve"> </w:t>
      </w:r>
      <w:hyperlink r:id="rId3" w:history="1">
        <w:r w:rsidRPr="00854CDC">
          <w:rPr>
            <w:rStyle w:val="Hyperlink"/>
            <w:szCs w:val="16"/>
          </w:rPr>
          <w:t>http://www.housingcare.org/jargon-extra-care-housing.aspx</w:t>
        </w:r>
      </w:hyperlink>
      <w:r>
        <w:rPr>
          <w:szCs w:val="16"/>
        </w:rPr>
        <w:t xml:space="preserve"> (accessed 11/04/17)</w:t>
      </w:r>
    </w:p>
  </w:footnote>
  <w:footnote w:id="28">
    <w:p w:rsidR="009144D7" w:rsidRPr="0044355F" w:rsidRDefault="009144D7" w:rsidP="00150472">
      <w:pPr>
        <w:pStyle w:val="FootnoteText"/>
      </w:pPr>
      <w:r>
        <w:rPr>
          <w:rStyle w:val="FootnoteReference"/>
        </w:rPr>
        <w:footnoteRef/>
      </w:r>
      <w:r>
        <w:t xml:space="preserve"> </w:t>
      </w:r>
      <w:r w:rsidRPr="00605F8C">
        <w:rPr>
          <w:rFonts w:ascii="Arial" w:hAnsi="Arial" w:cs="Arial"/>
          <w:szCs w:val="16"/>
        </w:rPr>
        <w:t>Housing LIN (2011) Strategic Housing for Older People: Planning, designing and delivering housing that older people want, available online at: http://www.housinglin.org.uk/_library/Resources/Housing/SHOP/SHOPResourcePack.pdf</w:t>
      </w:r>
    </w:p>
  </w:footnote>
  <w:footnote w:id="29">
    <w:p w:rsidR="009144D7" w:rsidRPr="0099464B" w:rsidRDefault="009144D7" w:rsidP="0021554C">
      <w:pPr>
        <w:pStyle w:val="FootnoteText"/>
      </w:pPr>
      <w:r>
        <w:rPr>
          <w:rStyle w:val="FootnoteReference"/>
        </w:rPr>
        <w:footnoteRef/>
      </w:r>
      <w:r>
        <w:t xml:space="preserve"> </w:t>
      </w:r>
      <w:hyperlink r:id="rId4" w:history="1">
        <w:r w:rsidRPr="00605F8C">
          <w:rPr>
            <w:rStyle w:val="Hyperlink"/>
            <w:szCs w:val="16"/>
          </w:rPr>
          <w:t>http://www.featherstonecohousing.co.uk/</w:t>
        </w:r>
      </w:hyperlink>
      <w:r w:rsidRPr="00605F8C">
        <w:rPr>
          <w:szCs w:val="16"/>
        </w:rPr>
        <w:t xml:space="preserve"> (visited 12/04/17)</w:t>
      </w:r>
    </w:p>
  </w:footnote>
  <w:footnote w:id="30">
    <w:p w:rsidR="009144D7" w:rsidRPr="0099464B" w:rsidRDefault="009144D7" w:rsidP="0021554C">
      <w:pPr>
        <w:pStyle w:val="FootnoteText"/>
      </w:pPr>
      <w:r>
        <w:rPr>
          <w:rStyle w:val="FootnoteReference"/>
        </w:rPr>
        <w:footnoteRef/>
      </w:r>
      <w:r>
        <w:t xml:space="preserve"> </w:t>
      </w:r>
      <w:r w:rsidRPr="00605F8C">
        <w:rPr>
          <w:szCs w:val="16"/>
        </w:rPr>
        <w:t>http://www.lilac.coop/ (visited 12/04/17)</w:t>
      </w:r>
    </w:p>
  </w:footnote>
  <w:footnote w:id="31">
    <w:p w:rsidR="009144D7" w:rsidRPr="00152645" w:rsidRDefault="009144D7" w:rsidP="0021554C">
      <w:pPr>
        <w:pStyle w:val="FootnoteText"/>
      </w:pPr>
      <w:r>
        <w:rPr>
          <w:rStyle w:val="FootnoteReference"/>
        </w:rPr>
        <w:footnoteRef/>
      </w:r>
      <w:r>
        <w:t xml:space="preserve"> </w:t>
      </w:r>
      <w:r w:rsidRPr="00152645">
        <w:rPr>
          <w:szCs w:val="16"/>
        </w:rPr>
        <w:t xml:space="preserve">RIBA, </w:t>
      </w:r>
      <w:r w:rsidRPr="00152645">
        <w:rPr>
          <w:szCs w:val="16"/>
          <w:u w:val="single"/>
        </w:rPr>
        <w:t>Silver Linings, The Active Third Age and the City</w:t>
      </w:r>
      <w:r w:rsidRPr="00152645">
        <w:rPr>
          <w:szCs w:val="16"/>
        </w:rPr>
        <w:t>, Page 17-18</w:t>
      </w:r>
    </w:p>
  </w:footnote>
  <w:footnote w:id="32">
    <w:p w:rsidR="009144D7" w:rsidRPr="00605F8C" w:rsidRDefault="009144D7" w:rsidP="0021554C">
      <w:pPr>
        <w:pStyle w:val="FootnoteText"/>
      </w:pPr>
      <w:r>
        <w:rPr>
          <w:rStyle w:val="FootnoteReference"/>
        </w:rPr>
        <w:footnoteRef/>
      </w:r>
      <w:r>
        <w:t xml:space="preserve"> </w:t>
      </w:r>
      <w:r w:rsidRPr="00605F8C">
        <w:rPr>
          <w:szCs w:val="16"/>
        </w:rPr>
        <w:t>http://www.lifetimehomes.org.uk/pages/about-us.html</w:t>
      </w:r>
    </w:p>
  </w:footnote>
  <w:footnote w:id="33">
    <w:p w:rsidR="009144D7" w:rsidRPr="000D33CC" w:rsidRDefault="009144D7" w:rsidP="0021554C">
      <w:pPr>
        <w:pStyle w:val="FootnoteText"/>
      </w:pPr>
      <w:r>
        <w:rPr>
          <w:rStyle w:val="FootnoteReference"/>
        </w:rPr>
        <w:footnoteRef/>
      </w:r>
      <w:r>
        <w:t xml:space="preserve"> </w:t>
      </w:r>
      <w:r w:rsidRPr="000D33CC">
        <w:rPr>
          <w:szCs w:val="16"/>
        </w:rPr>
        <w:t>Housing LIN, New Approaches to Housing for Older People, June 2014, page 6</w:t>
      </w:r>
    </w:p>
  </w:footnote>
  <w:footnote w:id="34">
    <w:p w:rsidR="009144D7" w:rsidRPr="00DF4EB0" w:rsidRDefault="009144D7" w:rsidP="0021554C">
      <w:pPr>
        <w:pStyle w:val="FootnoteText"/>
      </w:pPr>
      <w:r>
        <w:rPr>
          <w:rStyle w:val="FootnoteReference"/>
        </w:rPr>
        <w:footnoteRef/>
      </w:r>
      <w:r>
        <w:t xml:space="preserve"> </w:t>
      </w:r>
      <w:proofErr w:type="spellStart"/>
      <w:r w:rsidRPr="00237A56">
        <w:rPr>
          <w:szCs w:val="16"/>
        </w:rPr>
        <w:t>Gobber</w:t>
      </w:r>
      <w:proofErr w:type="spellEnd"/>
      <w:r w:rsidRPr="00237A56">
        <w:rPr>
          <w:szCs w:val="16"/>
        </w:rPr>
        <w:t xml:space="preserve">, S, </w:t>
      </w:r>
      <w:r w:rsidRPr="00237A56">
        <w:rPr>
          <w:szCs w:val="16"/>
          <w:u w:val="single"/>
        </w:rPr>
        <w:t>A Bright Grey Future</w:t>
      </w:r>
      <w:r w:rsidRPr="00237A56">
        <w:rPr>
          <w:szCs w:val="16"/>
        </w:rPr>
        <w:t>, Urban Design Group Journal, Spring 2016, page 29</w:t>
      </w:r>
    </w:p>
  </w:footnote>
  <w:footnote w:id="35">
    <w:p w:rsidR="009144D7" w:rsidRDefault="009144D7" w:rsidP="0021554C">
      <w:pPr>
        <w:pStyle w:val="FootnoteText"/>
      </w:pPr>
      <w:r>
        <w:rPr>
          <w:rStyle w:val="FootnoteReference"/>
        </w:rPr>
        <w:footnoteRef/>
      </w:r>
      <w:r>
        <w:t xml:space="preserve"> HMG, </w:t>
      </w:r>
      <w:r w:rsidRPr="00DC2F07">
        <w:rPr>
          <w:u w:val="single"/>
        </w:rPr>
        <w:t>Fixing our broken housing market</w:t>
      </w:r>
      <w:r>
        <w:t>, page 29</w:t>
      </w:r>
    </w:p>
  </w:footnote>
  <w:footnote w:id="36">
    <w:p w:rsidR="009144D7" w:rsidRDefault="009144D7" w:rsidP="0021554C">
      <w:pPr>
        <w:pStyle w:val="FootnoteText"/>
      </w:pPr>
      <w:r>
        <w:rPr>
          <w:rStyle w:val="FootnoteReference"/>
        </w:rPr>
        <w:footnoteRef/>
      </w:r>
      <w:r>
        <w:t xml:space="preserve"> RIBA/Age UK, An Alternative Age-Friendly Handbook, page 54/55</w:t>
      </w:r>
    </w:p>
  </w:footnote>
  <w:footnote w:id="37">
    <w:p w:rsidR="009144D7" w:rsidRDefault="009144D7" w:rsidP="0021554C">
      <w:pPr>
        <w:pStyle w:val="FootnoteText"/>
      </w:pPr>
      <w:r>
        <w:rPr>
          <w:rStyle w:val="FootnoteReference"/>
        </w:rPr>
        <w:footnoteRef/>
      </w:r>
      <w:r>
        <w:t xml:space="preserve"> RIBA/Age UK, An Alternative Age-Friendly Handbook, page 16</w:t>
      </w:r>
    </w:p>
  </w:footnote>
  <w:footnote w:id="38">
    <w:p w:rsidR="009144D7" w:rsidRDefault="009144D7" w:rsidP="0021554C">
      <w:pPr>
        <w:pStyle w:val="FootnoteText"/>
      </w:pPr>
      <w:r>
        <w:rPr>
          <w:rStyle w:val="FootnoteReference"/>
        </w:rPr>
        <w:footnoteRef/>
      </w:r>
      <w:r>
        <w:t xml:space="preserve"> </w:t>
      </w:r>
      <w:r w:rsidRPr="005E6F3D">
        <w:t>World Health Organisation: Global age-friendly cities: a guide, page</w:t>
      </w:r>
      <w:r>
        <w:t xml:space="preserve"> 32</w:t>
      </w:r>
    </w:p>
  </w:footnote>
  <w:footnote w:id="39">
    <w:p w:rsidR="009144D7" w:rsidRDefault="009144D7" w:rsidP="0021554C">
      <w:pPr>
        <w:pStyle w:val="FootnoteText"/>
      </w:pPr>
      <w:r>
        <w:rPr>
          <w:rStyle w:val="FootnoteReference"/>
        </w:rPr>
        <w:footnoteRef/>
      </w:r>
      <w:r>
        <w:t xml:space="preserve"> Ibid, page 33</w:t>
      </w:r>
    </w:p>
  </w:footnote>
  <w:footnote w:id="40">
    <w:p w:rsidR="009144D7" w:rsidRDefault="009144D7" w:rsidP="0021554C">
      <w:pPr>
        <w:pStyle w:val="FootnoteText"/>
      </w:pPr>
      <w:r>
        <w:rPr>
          <w:rStyle w:val="FootnoteReference"/>
        </w:rPr>
        <w:footnoteRef/>
      </w:r>
      <w:r>
        <w:t xml:space="preserve"> Ibid, page 35</w:t>
      </w:r>
    </w:p>
  </w:footnote>
  <w:footnote w:id="41">
    <w:p w:rsidR="009144D7" w:rsidRDefault="009144D7" w:rsidP="0021554C">
      <w:pPr>
        <w:pStyle w:val="FootnoteText"/>
      </w:pPr>
      <w:r>
        <w:rPr>
          <w:rStyle w:val="FootnoteReference"/>
        </w:rPr>
        <w:footnoteRef/>
      </w:r>
      <w:r>
        <w:t xml:space="preserve"> Alzheimer’s Society, </w:t>
      </w:r>
      <w:r w:rsidRPr="00233111">
        <w:rPr>
          <w:u w:val="single"/>
        </w:rPr>
        <w:t>Dementia-friendly housing charter</w:t>
      </w:r>
      <w:r>
        <w:t>, page 13</w:t>
      </w:r>
    </w:p>
  </w:footnote>
  <w:footnote w:id="42">
    <w:p w:rsidR="009144D7" w:rsidRPr="00F429B7" w:rsidRDefault="009144D7" w:rsidP="0021554C">
      <w:pPr>
        <w:pStyle w:val="FootnoteText"/>
      </w:pPr>
      <w:r>
        <w:rPr>
          <w:rStyle w:val="FootnoteReference"/>
        </w:rPr>
        <w:footnoteRef/>
      </w:r>
      <w:r>
        <w:t xml:space="preserve"> NPPF, para 50</w:t>
      </w:r>
    </w:p>
  </w:footnote>
  <w:footnote w:id="43">
    <w:p w:rsidR="009144D7" w:rsidRPr="002234DE" w:rsidRDefault="009144D7" w:rsidP="004B4774">
      <w:pPr>
        <w:pStyle w:val="FootnoteText"/>
      </w:pPr>
      <w:r>
        <w:rPr>
          <w:rStyle w:val="FootnoteReference"/>
        </w:rPr>
        <w:footnoteRef/>
      </w:r>
      <w:r>
        <w:t xml:space="preserve"> </w:t>
      </w:r>
      <w:r w:rsidRPr="002234DE">
        <w:t>http://planningguidance.communities.gov.uk/blog/guidance/housing-and-economic-development-needs-assessments/methodology-assessing-housing-need/#paragraph_019</w:t>
      </w:r>
    </w:p>
  </w:footnote>
  <w:footnote w:id="44">
    <w:p w:rsidR="009144D7" w:rsidRPr="002234DE" w:rsidRDefault="009144D7" w:rsidP="004B4774">
      <w:pPr>
        <w:pStyle w:val="FootnoteText"/>
      </w:pPr>
      <w:r>
        <w:rPr>
          <w:rStyle w:val="FootnoteReference"/>
        </w:rPr>
        <w:footnoteRef/>
      </w:r>
      <w:r>
        <w:t xml:space="preserve"> </w:t>
      </w:r>
      <w:r w:rsidRPr="002234DE">
        <w:t>http://planningguidance.communities.gov.uk/blog/guidance/housing-and-economic-development-needs-assessments/methodology-assessing-housing-need/#paragraph_020</w:t>
      </w:r>
    </w:p>
  </w:footnote>
  <w:footnote w:id="45">
    <w:p w:rsidR="009144D7" w:rsidRDefault="009144D7" w:rsidP="004B4774">
      <w:pPr>
        <w:pStyle w:val="FootnoteText"/>
      </w:pPr>
      <w:r>
        <w:rPr>
          <w:rStyle w:val="FootnoteReference"/>
        </w:rPr>
        <w:footnoteRef/>
      </w:r>
      <w:r>
        <w:t xml:space="preserve"> </w:t>
      </w:r>
      <w:proofErr w:type="gramStart"/>
      <w:r>
        <w:t>LEPSEP, pp.32.</w:t>
      </w:r>
      <w:proofErr w:type="gramEnd"/>
    </w:p>
  </w:footnote>
  <w:footnote w:id="46">
    <w:p w:rsidR="009144D7" w:rsidRDefault="009144D7" w:rsidP="004B4774">
      <w:pPr>
        <w:pStyle w:val="FootnoteText"/>
      </w:pPr>
      <w:r>
        <w:rPr>
          <w:rStyle w:val="FootnoteReference"/>
        </w:rPr>
        <w:footnoteRef/>
      </w:r>
      <w:r>
        <w:t xml:space="preserve"> </w:t>
      </w:r>
      <w:proofErr w:type="gramStart"/>
      <w:r>
        <w:t>CLP, pp.17.</w:t>
      </w:r>
      <w:proofErr w:type="gramEnd"/>
    </w:p>
  </w:footnote>
  <w:footnote w:id="47">
    <w:p w:rsidR="009144D7" w:rsidRDefault="009144D7" w:rsidP="004B4774">
      <w:pPr>
        <w:pStyle w:val="FootnoteText"/>
      </w:pPr>
      <w:r>
        <w:rPr>
          <w:rStyle w:val="FootnoteReference"/>
        </w:rPr>
        <w:footnoteRef/>
      </w:r>
      <w:r>
        <w:t xml:space="preserve"> </w:t>
      </w:r>
      <w:proofErr w:type="gramStart"/>
      <w:r>
        <w:t>CLP, pp.42.</w:t>
      </w:r>
      <w:proofErr w:type="gramEnd"/>
    </w:p>
  </w:footnote>
  <w:footnote w:id="48">
    <w:p w:rsidR="009144D7" w:rsidRDefault="009144D7" w:rsidP="004B4774">
      <w:pPr>
        <w:pStyle w:val="FootnoteText"/>
      </w:pPr>
      <w:r>
        <w:rPr>
          <w:rStyle w:val="FootnoteReference"/>
        </w:rPr>
        <w:footnoteRef/>
      </w:r>
      <w:r>
        <w:t xml:space="preserve"> </w:t>
      </w:r>
      <w:proofErr w:type="gramStart"/>
      <w:r>
        <w:t>CLP, pp.41.</w:t>
      </w:r>
      <w:proofErr w:type="gramEnd"/>
    </w:p>
  </w:footnote>
  <w:footnote w:id="49">
    <w:p w:rsidR="009144D7" w:rsidRDefault="009144D7" w:rsidP="004B4774">
      <w:pPr>
        <w:pStyle w:val="FootnoteText"/>
      </w:pPr>
      <w:r>
        <w:rPr>
          <w:rStyle w:val="FootnoteReference"/>
        </w:rPr>
        <w:footnoteRef/>
      </w:r>
      <w:r>
        <w:t xml:space="preserve"> </w:t>
      </w:r>
      <w:proofErr w:type="gramStart"/>
      <w:r>
        <w:t>CLP, pp.19.</w:t>
      </w:r>
      <w:proofErr w:type="gramEnd"/>
    </w:p>
  </w:footnote>
  <w:footnote w:id="50">
    <w:p w:rsidR="009144D7" w:rsidRDefault="009144D7" w:rsidP="004B4774">
      <w:pPr>
        <w:pStyle w:val="FootnoteText"/>
      </w:pPr>
      <w:r>
        <w:rPr>
          <w:rStyle w:val="FootnoteReference"/>
        </w:rPr>
        <w:footnoteRef/>
      </w:r>
      <w:r>
        <w:t xml:space="preserve"> </w:t>
      </w:r>
      <w:proofErr w:type="gramStart"/>
      <w:r>
        <w:t>LEPSEP, pp.23.</w:t>
      </w:r>
      <w:proofErr w:type="gramEnd"/>
    </w:p>
  </w:footnote>
  <w:footnote w:id="51">
    <w:p w:rsidR="009144D7" w:rsidRDefault="009144D7" w:rsidP="004B4774">
      <w:pPr>
        <w:pStyle w:val="FootnoteText"/>
      </w:pPr>
      <w:r>
        <w:rPr>
          <w:rStyle w:val="FootnoteReference"/>
        </w:rPr>
        <w:footnoteRef/>
      </w:r>
      <w:r>
        <w:t xml:space="preserve"> </w:t>
      </w:r>
      <w:proofErr w:type="gramStart"/>
      <w:r>
        <w:t>CLP, pp.23.</w:t>
      </w:r>
      <w:proofErr w:type="gramEnd"/>
    </w:p>
  </w:footnote>
  <w:footnote w:id="52">
    <w:p w:rsidR="009144D7" w:rsidRDefault="009144D7" w:rsidP="004B4774">
      <w:pPr>
        <w:pStyle w:val="FootnoteText"/>
      </w:pPr>
      <w:r>
        <w:rPr>
          <w:rStyle w:val="FootnoteReference"/>
        </w:rPr>
        <w:footnoteRef/>
      </w:r>
      <w:r>
        <w:t xml:space="preserve"> </w:t>
      </w:r>
      <w:proofErr w:type="gramStart"/>
      <w:r>
        <w:t>LEPSEP, pp.68.</w:t>
      </w:r>
      <w:proofErr w:type="gramEnd"/>
    </w:p>
  </w:footnote>
  <w:footnote w:id="53">
    <w:p w:rsidR="009144D7" w:rsidRDefault="009144D7" w:rsidP="004B4774">
      <w:pPr>
        <w:pStyle w:val="FootnoteText"/>
      </w:pPr>
      <w:r>
        <w:rPr>
          <w:rStyle w:val="FootnoteReference"/>
        </w:rPr>
        <w:footnoteRef/>
      </w:r>
      <w:r>
        <w:t xml:space="preserve"> </w:t>
      </w:r>
      <w:proofErr w:type="gramStart"/>
      <w:r>
        <w:t>SHMA, pp.104.</w:t>
      </w:r>
      <w:proofErr w:type="gramEnd"/>
    </w:p>
  </w:footnote>
  <w:footnote w:id="54">
    <w:p w:rsidR="009144D7" w:rsidRDefault="009144D7" w:rsidP="004B4774">
      <w:pPr>
        <w:pStyle w:val="FootnoteText"/>
      </w:pPr>
      <w:r>
        <w:rPr>
          <w:rStyle w:val="FootnoteReference"/>
        </w:rPr>
        <w:footnoteRef/>
      </w:r>
      <w:r>
        <w:t xml:space="preserve"> Ibid.</w:t>
      </w:r>
    </w:p>
  </w:footnote>
  <w:footnote w:id="55">
    <w:p w:rsidR="009144D7" w:rsidRDefault="009144D7" w:rsidP="004B4774">
      <w:pPr>
        <w:pStyle w:val="FootnoteText"/>
      </w:pPr>
      <w:r>
        <w:rPr>
          <w:rStyle w:val="FootnoteReference"/>
        </w:rPr>
        <w:footnoteRef/>
      </w:r>
      <w:r>
        <w:t xml:space="preserve"> </w:t>
      </w:r>
      <w:hyperlink r:id="rId5" w:history="1">
        <w:r w:rsidRPr="00B15665">
          <w:rPr>
            <w:rStyle w:val="Hyperlink"/>
          </w:rPr>
          <w:t>http://webarchive.nationalarchives.gov.uk/20160105222245/http://www.ons.gov.uk/ons/rel/census/2011-census-analysis/what-does-the-2011-census-tell-us-about-concealed-families-living-in-multi-family-households-in-england-and-wales-/sty-what-does-the-2011-census-tell-us-about-concealed-families.html</w:t>
        </w:r>
      </w:hyperlink>
      <w:r>
        <w:t xml:space="preserve"> (visited 13/10/17)</w:t>
      </w:r>
    </w:p>
  </w:footnote>
  <w:footnote w:id="56">
    <w:p w:rsidR="009144D7" w:rsidRDefault="009144D7" w:rsidP="00435EAC">
      <w:pPr>
        <w:pStyle w:val="FootnoteText"/>
      </w:pPr>
      <w:r>
        <w:rPr>
          <w:rStyle w:val="FootnoteReference"/>
        </w:rPr>
        <w:footnoteRef/>
      </w:r>
      <w:r>
        <w:t xml:space="preserve"> </w:t>
      </w:r>
      <w:r w:rsidRPr="00605F8C">
        <w:rPr>
          <w:rFonts w:ascii="Arial" w:hAnsi="Arial" w:cs="Arial"/>
          <w:szCs w:val="16"/>
        </w:rPr>
        <w:t>Housing LIN (2011) Strategic Housing for Older People: Planning, designing and delivering housing that older people want, available online at: http://www.housinglin.org.uk/_library/Resources/Housing/SHOP/SHOPResourcePack.pdf</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Plaingrid"/>
      <w:tblW w:w="5000" w:type="pct"/>
      <w:tblLook w:val="04A0" w:firstRow="1" w:lastRow="0" w:firstColumn="1" w:lastColumn="0" w:noHBand="0" w:noVBand="1"/>
    </w:tblPr>
    <w:tblGrid>
      <w:gridCol w:w="3035"/>
      <w:gridCol w:w="3060"/>
      <w:gridCol w:w="3039"/>
    </w:tblGrid>
    <w:tr w:rsidR="009144D7" w:rsidTr="00DC18A9">
      <w:trPr>
        <w:trHeight w:val="460"/>
      </w:trPr>
      <w:tc>
        <w:tcPr>
          <w:tcW w:w="3035" w:type="dxa"/>
        </w:tcPr>
        <w:p w:rsidR="009144D7" w:rsidRDefault="009144D7">
          <w:pPr>
            <w:pStyle w:val="Header"/>
          </w:pPr>
          <w:r>
            <w:t xml:space="preserve">Title needs inserting </w:t>
          </w:r>
          <w:fldSimple w:instr=" DOCPROPERTY  HeaderTitle \* MERGEFORMAT ">
            <w:r>
              <w:t xml:space="preserve">HNA Template </w:t>
            </w:r>
          </w:fldSimple>
        </w:p>
      </w:tc>
      <w:tc>
        <w:tcPr>
          <w:tcW w:w="3060" w:type="dxa"/>
        </w:tcPr>
        <w:p w:rsidR="009144D7" w:rsidRPr="00624CAA" w:rsidRDefault="009144D7" w:rsidP="00E05BDE">
          <w:pPr>
            <w:pStyle w:val="Header"/>
            <w:jc w:val="center"/>
            <w:rPr>
              <w:b/>
              <w:caps/>
              <w:sz w:val="16"/>
              <w:szCs w:val="16"/>
            </w:rPr>
          </w:pPr>
          <w:r w:rsidRPr="00624CAA">
            <w:rPr>
              <w:b/>
              <w:caps/>
              <w:sz w:val="16"/>
              <w:szCs w:val="16"/>
            </w:rPr>
            <w:fldChar w:fldCharType="begin"/>
          </w:r>
          <w:r w:rsidRPr="00624CAA">
            <w:rPr>
              <w:b/>
              <w:caps/>
              <w:sz w:val="16"/>
              <w:szCs w:val="16"/>
            </w:rPr>
            <w:instrText xml:space="preserve"> DOCPROPERTY  ProtectiveMarking \* MERGEFORMAT </w:instrText>
          </w:r>
          <w:r w:rsidRPr="00624CAA">
            <w:rPr>
              <w:b/>
              <w:caps/>
              <w:sz w:val="16"/>
              <w:szCs w:val="16"/>
            </w:rPr>
            <w:fldChar w:fldCharType="end"/>
          </w:r>
        </w:p>
        <w:p w:rsidR="009144D7" w:rsidRPr="00624CAA" w:rsidRDefault="009144D7" w:rsidP="00E05BDE">
          <w:pPr>
            <w:pStyle w:val="Header"/>
            <w:jc w:val="center"/>
            <w:rPr>
              <w:b/>
              <w:caps/>
              <w:sz w:val="16"/>
              <w:szCs w:val="16"/>
            </w:rPr>
          </w:pPr>
          <w:r w:rsidRPr="002F3B02">
            <w:rPr>
              <w:b/>
              <w:sz w:val="24"/>
              <w:szCs w:val="24"/>
            </w:rPr>
            <w:fldChar w:fldCharType="begin"/>
          </w:r>
          <w:r w:rsidRPr="002F3B02">
            <w:rPr>
              <w:b/>
              <w:sz w:val="24"/>
              <w:szCs w:val="24"/>
            </w:rPr>
            <w:instrText xml:space="preserve"> DOCPROPERTY  Draft \* MERGEFORMAT </w:instrText>
          </w:r>
          <w:r w:rsidRPr="002F3B02">
            <w:rPr>
              <w:b/>
              <w:sz w:val="24"/>
              <w:szCs w:val="24"/>
            </w:rPr>
            <w:fldChar w:fldCharType="separate"/>
          </w:r>
          <w:r>
            <w:rPr>
              <w:b/>
              <w:sz w:val="24"/>
              <w:szCs w:val="24"/>
            </w:rPr>
            <w:t>DRAFT</w:t>
          </w:r>
          <w:r w:rsidRPr="002F3B02">
            <w:rPr>
              <w:b/>
              <w:sz w:val="24"/>
              <w:szCs w:val="24"/>
            </w:rPr>
            <w:fldChar w:fldCharType="end"/>
          </w:r>
        </w:p>
      </w:tc>
      <w:tc>
        <w:tcPr>
          <w:tcW w:w="3039" w:type="dxa"/>
        </w:tcPr>
        <w:p w:rsidR="009144D7" w:rsidRDefault="006F5B88" w:rsidP="00904014">
          <w:pPr>
            <w:pStyle w:val="Header"/>
            <w:tabs>
              <w:tab w:val="left" w:pos="2132"/>
            </w:tabs>
            <w:jc w:val="right"/>
          </w:pPr>
          <w:fldSimple w:instr=" DOCPROPERTY  HeaderClient \* MERGEFORMAT ">
            <w:r w:rsidR="009144D7">
              <w:t xml:space="preserve"> </w:t>
            </w:r>
          </w:fldSimple>
        </w:p>
        <w:p w:rsidR="009144D7" w:rsidRDefault="006F5B88" w:rsidP="00E05BDE">
          <w:pPr>
            <w:pStyle w:val="Header"/>
            <w:jc w:val="right"/>
          </w:pPr>
          <w:fldSimple w:instr=" DOCPROPERTY  ProjectRef \* MERGEFORMAT ">
            <w:r w:rsidR="009144D7">
              <w:t xml:space="preserve"> </w:t>
            </w:r>
          </w:fldSimple>
        </w:p>
        <w:p w:rsidR="009144D7" w:rsidRDefault="006F5B88" w:rsidP="00F97D16">
          <w:pPr>
            <w:pStyle w:val="Header"/>
            <w:jc w:val="right"/>
          </w:pPr>
          <w:fldSimple w:instr=" DOCPROPERTY  ProjectNumber \* MERGEFORMAT ">
            <w:r w:rsidR="009144D7">
              <w:t xml:space="preserve"> </w:t>
            </w:r>
          </w:fldSimple>
        </w:p>
      </w:tc>
    </w:tr>
  </w:tbl>
  <w:p w:rsidR="009144D7" w:rsidRDefault="009144D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80" w:type="dxa"/>
      <w:tblLayout w:type="fixed"/>
      <w:tblCellMar>
        <w:left w:w="0" w:type="dxa"/>
        <w:right w:w="0" w:type="dxa"/>
      </w:tblCellMar>
      <w:tblLook w:val="00A0" w:firstRow="1" w:lastRow="0" w:firstColumn="1" w:lastColumn="0" w:noHBand="0" w:noVBand="0"/>
    </w:tblPr>
    <w:tblGrid>
      <w:gridCol w:w="3221"/>
      <w:gridCol w:w="3569"/>
      <w:gridCol w:w="1832"/>
      <w:gridCol w:w="1458"/>
    </w:tblGrid>
    <w:tr w:rsidR="009144D7" w:rsidRPr="00035BE0">
      <w:trPr>
        <w:trHeight w:val="20"/>
      </w:trPr>
      <w:tc>
        <w:tcPr>
          <w:tcW w:w="3221" w:type="dxa"/>
          <w:noWrap/>
        </w:tcPr>
        <w:p w:rsidR="009144D7" w:rsidRPr="00D35DCB" w:rsidRDefault="009144D7" w:rsidP="00E80CC8">
          <w:r>
            <w:t>AECOM</w:t>
          </w:r>
        </w:p>
      </w:tc>
      <w:tc>
        <w:tcPr>
          <w:tcW w:w="3569" w:type="dxa"/>
          <w:noWrap/>
        </w:tcPr>
        <w:p w:rsidR="009144D7" w:rsidRPr="00687BDA" w:rsidRDefault="009144D7" w:rsidP="00E80CC8"/>
      </w:tc>
      <w:tc>
        <w:tcPr>
          <w:tcW w:w="1832" w:type="dxa"/>
        </w:tcPr>
        <w:p w:rsidR="009144D7" w:rsidRPr="00B70F5C" w:rsidRDefault="009144D7" w:rsidP="00E80CC8"/>
      </w:tc>
      <w:tc>
        <w:tcPr>
          <w:tcW w:w="1458" w:type="dxa"/>
        </w:tcPr>
        <w:p w:rsidR="009144D7" w:rsidRPr="00D35DCB" w:rsidRDefault="009144D7" w:rsidP="00E80CC8">
          <w:r>
            <w:fldChar w:fldCharType="begin"/>
          </w:r>
          <w:r>
            <w:instrText xml:space="preserve"> PAGE   \* MERGEFORMAT </w:instrText>
          </w:r>
          <w:r>
            <w:fldChar w:fldCharType="separate"/>
          </w:r>
          <w:r w:rsidR="008D2376">
            <w:rPr>
              <w:noProof/>
            </w:rPr>
            <w:t>5</w:t>
          </w:r>
          <w:r>
            <w:rPr>
              <w:noProof/>
            </w:rPr>
            <w:fldChar w:fldCharType="end"/>
          </w:r>
        </w:p>
      </w:tc>
    </w:tr>
  </w:tbl>
  <w:p w:rsidR="009144D7" w:rsidRDefault="009144D7"/>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Plaingrid"/>
      <w:tblW w:w="5000" w:type="pct"/>
      <w:tblLook w:val="04A0" w:firstRow="1" w:lastRow="0" w:firstColumn="1" w:lastColumn="0" w:noHBand="0" w:noVBand="1"/>
    </w:tblPr>
    <w:tblGrid>
      <w:gridCol w:w="3828"/>
      <w:gridCol w:w="2267"/>
      <w:gridCol w:w="3039"/>
    </w:tblGrid>
    <w:tr w:rsidR="009144D7" w:rsidTr="00BE0DAB">
      <w:trPr>
        <w:trHeight w:val="483"/>
      </w:trPr>
      <w:tc>
        <w:tcPr>
          <w:tcW w:w="3828" w:type="dxa"/>
        </w:tcPr>
        <w:p w:rsidR="009144D7" w:rsidRDefault="009144D7">
          <w:pPr>
            <w:pStyle w:val="Header"/>
          </w:pPr>
          <w:r>
            <w:t>Checkley Neighbourhood Plan Housing Needs Assessment</w:t>
          </w:r>
        </w:p>
      </w:tc>
      <w:tc>
        <w:tcPr>
          <w:tcW w:w="2267" w:type="dxa"/>
        </w:tcPr>
        <w:p w:rsidR="009144D7" w:rsidRPr="00624CAA" w:rsidRDefault="009144D7" w:rsidP="00E05BDE">
          <w:pPr>
            <w:pStyle w:val="Header"/>
            <w:jc w:val="center"/>
            <w:rPr>
              <w:b/>
              <w:caps/>
              <w:sz w:val="16"/>
              <w:szCs w:val="16"/>
            </w:rPr>
          </w:pPr>
          <w:r w:rsidRPr="00624CAA">
            <w:rPr>
              <w:b/>
              <w:caps/>
              <w:sz w:val="16"/>
              <w:szCs w:val="16"/>
            </w:rPr>
            <w:fldChar w:fldCharType="begin"/>
          </w:r>
          <w:r w:rsidRPr="00624CAA">
            <w:rPr>
              <w:b/>
              <w:caps/>
              <w:sz w:val="16"/>
              <w:szCs w:val="16"/>
            </w:rPr>
            <w:instrText xml:space="preserve"> DOCPROPERTY  ProtectiveMarking \* MERGEFORMAT </w:instrText>
          </w:r>
          <w:r w:rsidRPr="00624CAA">
            <w:rPr>
              <w:b/>
              <w:caps/>
              <w:sz w:val="16"/>
              <w:szCs w:val="16"/>
            </w:rPr>
            <w:fldChar w:fldCharType="end"/>
          </w:r>
        </w:p>
        <w:p w:rsidR="009144D7" w:rsidRPr="00624CAA" w:rsidRDefault="009144D7" w:rsidP="00BE0DAB">
          <w:pPr>
            <w:pStyle w:val="Header"/>
            <w:jc w:val="right"/>
            <w:rPr>
              <w:b/>
              <w:caps/>
              <w:sz w:val="16"/>
              <w:szCs w:val="16"/>
            </w:rPr>
          </w:pPr>
        </w:p>
      </w:tc>
      <w:tc>
        <w:tcPr>
          <w:tcW w:w="3039" w:type="dxa"/>
        </w:tcPr>
        <w:p w:rsidR="009144D7" w:rsidRDefault="006F5B88" w:rsidP="00904014">
          <w:pPr>
            <w:pStyle w:val="Header"/>
            <w:tabs>
              <w:tab w:val="left" w:pos="2132"/>
            </w:tabs>
            <w:jc w:val="right"/>
          </w:pPr>
          <w:fldSimple w:instr=" DOCPROPERTY  HeaderClient \* MERGEFORMAT ">
            <w:r w:rsidR="009144D7">
              <w:t xml:space="preserve"> </w:t>
            </w:r>
          </w:fldSimple>
        </w:p>
        <w:p w:rsidR="009144D7" w:rsidRPr="00BE0DAB" w:rsidRDefault="009144D7" w:rsidP="00BE0DAB">
          <w:pPr>
            <w:pStyle w:val="Header"/>
            <w:jc w:val="center"/>
            <w:rPr>
              <w:b/>
              <w:sz w:val="24"/>
            </w:rPr>
          </w:pPr>
          <w:r w:rsidRPr="00BE0DAB">
            <w:rPr>
              <w:b/>
              <w:sz w:val="24"/>
            </w:rPr>
            <w:t>DRAFT</w:t>
          </w:r>
          <w:r w:rsidRPr="00BE0DAB">
            <w:rPr>
              <w:b/>
              <w:sz w:val="24"/>
            </w:rPr>
            <w:fldChar w:fldCharType="begin"/>
          </w:r>
          <w:r w:rsidRPr="00BE0DAB">
            <w:rPr>
              <w:b/>
              <w:sz w:val="24"/>
            </w:rPr>
            <w:instrText xml:space="preserve"> DOCPROPERTY  ProjectRef \* MERGEFORMAT </w:instrText>
          </w:r>
          <w:r w:rsidRPr="00BE0DAB">
            <w:rPr>
              <w:b/>
              <w:sz w:val="24"/>
            </w:rPr>
            <w:fldChar w:fldCharType="separate"/>
          </w:r>
          <w:r>
            <w:rPr>
              <w:b/>
              <w:sz w:val="24"/>
            </w:rPr>
            <w:t xml:space="preserve"> </w:t>
          </w:r>
          <w:r w:rsidRPr="00BE0DAB">
            <w:rPr>
              <w:b/>
              <w:sz w:val="24"/>
            </w:rPr>
            <w:fldChar w:fldCharType="end"/>
          </w:r>
        </w:p>
        <w:p w:rsidR="009144D7" w:rsidRDefault="006F5B88" w:rsidP="00E05BDE">
          <w:pPr>
            <w:pStyle w:val="Header"/>
            <w:jc w:val="right"/>
          </w:pPr>
          <w:fldSimple w:instr=" DOCPROPERTY  ProjectNumber \* MERGEFORMAT ">
            <w:r w:rsidR="009144D7">
              <w:t xml:space="preserve"> </w:t>
            </w:r>
          </w:fldSimple>
        </w:p>
      </w:tc>
    </w:tr>
  </w:tbl>
  <w:p w:rsidR="009144D7" w:rsidRDefault="009144D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B7A69D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6EAF11E"/>
    <w:lvl w:ilvl="0">
      <w:start w:val="1"/>
      <w:numFmt w:val="decimal"/>
      <w:pStyle w:val="ListNumber4"/>
      <w:lvlText w:val="%1."/>
      <w:lvlJc w:val="left"/>
      <w:pPr>
        <w:tabs>
          <w:tab w:val="num" w:pos="1209"/>
        </w:tabs>
        <w:ind w:left="1209" w:hanging="360"/>
      </w:pPr>
    </w:lvl>
  </w:abstractNum>
  <w:abstractNum w:abstractNumId="2">
    <w:nsid w:val="FFFFFF80"/>
    <w:multiLevelType w:val="singleLevel"/>
    <w:tmpl w:val="181A1024"/>
    <w:lvl w:ilvl="0">
      <w:start w:val="1"/>
      <w:numFmt w:val="bullet"/>
      <w:pStyle w:val="ListBullet5"/>
      <w:lvlText w:val=""/>
      <w:lvlJc w:val="left"/>
      <w:pPr>
        <w:tabs>
          <w:tab w:val="num" w:pos="1492"/>
        </w:tabs>
        <w:ind w:left="1492" w:hanging="360"/>
      </w:pPr>
      <w:rPr>
        <w:rFonts w:ascii="Symbol" w:hAnsi="Symbol" w:hint="default"/>
      </w:rPr>
    </w:lvl>
  </w:abstractNum>
  <w:abstractNum w:abstractNumId="3">
    <w:nsid w:val="FFFFFF81"/>
    <w:multiLevelType w:val="singleLevel"/>
    <w:tmpl w:val="DADEFE72"/>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3"/>
    <w:multiLevelType w:val="singleLevel"/>
    <w:tmpl w:val="7EF8584A"/>
    <w:lvl w:ilvl="0">
      <w:start w:val="1"/>
      <w:numFmt w:val="bullet"/>
      <w:lvlText w:val=""/>
      <w:lvlJc w:val="left"/>
      <w:pPr>
        <w:tabs>
          <w:tab w:val="num" w:pos="643"/>
        </w:tabs>
        <w:ind w:left="643" w:hanging="360"/>
      </w:pPr>
      <w:rPr>
        <w:rFonts w:ascii="Symbol" w:hAnsi="Symbol" w:hint="default"/>
      </w:rPr>
    </w:lvl>
  </w:abstractNum>
  <w:abstractNum w:abstractNumId="5">
    <w:nsid w:val="FFFFFF88"/>
    <w:multiLevelType w:val="singleLevel"/>
    <w:tmpl w:val="77628F76"/>
    <w:lvl w:ilvl="0">
      <w:start w:val="1"/>
      <w:numFmt w:val="decimal"/>
      <w:lvlText w:val="%1."/>
      <w:lvlJc w:val="left"/>
      <w:pPr>
        <w:tabs>
          <w:tab w:val="num" w:pos="360"/>
        </w:tabs>
        <w:ind w:left="360" w:hanging="360"/>
      </w:pPr>
    </w:lvl>
  </w:abstractNum>
  <w:abstractNum w:abstractNumId="6">
    <w:nsid w:val="03C12964"/>
    <w:multiLevelType w:val="hybridMultilevel"/>
    <w:tmpl w:val="FED03676"/>
    <w:lvl w:ilvl="0" w:tplc="0809000F">
      <w:start w:val="1"/>
      <w:numFmt w:val="decimal"/>
      <w:lvlText w:val="%1."/>
      <w:lvlJc w:val="left"/>
      <w:pPr>
        <w:ind w:left="720" w:hanging="360"/>
      </w:pPr>
    </w:lvl>
    <w:lvl w:ilvl="1" w:tplc="C0D68C7A">
      <w:numFmt w:val="bullet"/>
      <w:lvlText w:val="•"/>
      <w:lvlJc w:val="left"/>
      <w:pPr>
        <w:ind w:left="1440" w:hanging="360"/>
      </w:pPr>
      <w:rPr>
        <w:rFonts w:ascii="Arial" w:eastAsia="Times New Roman" w:hAnsi="Arial" w:cs="Arial"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06DD69E9"/>
    <w:multiLevelType w:val="multilevel"/>
    <w:tmpl w:val="149E5684"/>
    <w:lvl w:ilvl="0">
      <w:start w:val="1"/>
      <w:numFmt w:val="decimal"/>
      <w:pStyle w:val="Heading1"/>
      <w:lvlText w:val="%1."/>
      <w:lvlJc w:val="left"/>
      <w:pPr>
        <w:ind w:left="851" w:hanging="851"/>
      </w:pPr>
      <w:rPr>
        <w:rFonts w:hint="default"/>
      </w:rPr>
    </w:lvl>
    <w:lvl w:ilvl="1">
      <w:start w:val="1"/>
      <w:numFmt w:val="decimal"/>
      <w:pStyle w:val="Heading2"/>
      <w:lvlText w:val="%1.%2"/>
      <w:lvlJc w:val="left"/>
      <w:pPr>
        <w:ind w:left="851" w:hanging="851"/>
      </w:pPr>
      <w:rPr>
        <w:rFonts w:hint="default"/>
      </w:rPr>
    </w:lvl>
    <w:lvl w:ilvl="2">
      <w:start w:val="1"/>
      <w:numFmt w:val="decimal"/>
      <w:pStyle w:val="Heading3"/>
      <w:lvlText w:val="%1.%2.%3"/>
      <w:lvlJc w:val="left"/>
      <w:pPr>
        <w:ind w:left="851" w:hanging="851"/>
      </w:pPr>
      <w:rPr>
        <w:rFonts w:hint="default"/>
      </w:rPr>
    </w:lvl>
    <w:lvl w:ilvl="3">
      <w:start w:val="1"/>
      <w:numFmt w:val="decimal"/>
      <w:pStyle w:val="Heading4"/>
      <w:lvlText w:val="%1.%2.%3.%4"/>
      <w:lvlJc w:val="left"/>
      <w:pPr>
        <w:ind w:left="851" w:hanging="851"/>
      </w:pPr>
      <w:rPr>
        <w:rFonts w:hint="default"/>
      </w:rPr>
    </w:lvl>
    <w:lvl w:ilvl="4">
      <w:start w:val="1"/>
      <w:numFmt w:val="decimal"/>
      <w:lvlText w:val="%1.%2.%3.%4.%5"/>
      <w:lvlJc w:val="left"/>
      <w:pPr>
        <w:ind w:left="851" w:hanging="851"/>
      </w:pPr>
      <w:rPr>
        <w:rFonts w:hint="default"/>
      </w:rPr>
    </w:lvl>
    <w:lvl w:ilvl="5">
      <w:start w:val="1"/>
      <w:numFmt w:val="decimal"/>
      <w:pStyle w:val="Heading6"/>
      <w:lvlText w:val="%1.%2.%3.%4.%5.%6"/>
      <w:lvlJc w:val="left"/>
      <w:pPr>
        <w:ind w:left="851" w:hanging="851"/>
      </w:pPr>
      <w:rPr>
        <w:rFonts w:hint="default"/>
      </w:rPr>
    </w:lvl>
    <w:lvl w:ilvl="6">
      <w:start w:val="1"/>
      <w:numFmt w:val="none"/>
      <w:pStyle w:val="Heading7"/>
      <w:lvlText w:val=""/>
      <w:lvlJc w:val="left"/>
      <w:pPr>
        <w:ind w:left="851" w:hanging="851"/>
      </w:pPr>
      <w:rPr>
        <w:rFonts w:hint="default"/>
      </w:rPr>
    </w:lvl>
    <w:lvl w:ilvl="7">
      <w:start w:val="1"/>
      <w:numFmt w:val="lowerLetter"/>
      <w:pStyle w:val="Heading8"/>
      <w:lvlText w:val="%8."/>
      <w:lvlJc w:val="left"/>
      <w:pPr>
        <w:ind w:left="851" w:hanging="851"/>
      </w:pPr>
      <w:rPr>
        <w:rFonts w:hint="default"/>
      </w:rPr>
    </w:lvl>
    <w:lvl w:ilvl="8">
      <w:start w:val="1"/>
      <w:numFmt w:val="lowerRoman"/>
      <w:pStyle w:val="Heading9"/>
      <w:lvlText w:val="%9."/>
      <w:lvlJc w:val="left"/>
      <w:pPr>
        <w:ind w:left="851" w:hanging="851"/>
      </w:pPr>
      <w:rPr>
        <w:rFonts w:hint="default"/>
      </w:rPr>
    </w:lvl>
  </w:abstractNum>
  <w:abstractNum w:abstractNumId="8">
    <w:nsid w:val="07062655"/>
    <w:multiLevelType w:val="hybridMultilevel"/>
    <w:tmpl w:val="F448FAA6"/>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08AB481A"/>
    <w:multiLevelType w:val="multilevel"/>
    <w:tmpl w:val="22544628"/>
    <w:styleLink w:val="AECOMNumbering"/>
    <w:lvl w:ilvl="0">
      <w:start w:val="1"/>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0">
    <w:nsid w:val="0E406F3E"/>
    <w:multiLevelType w:val="multilevel"/>
    <w:tmpl w:val="1F30E436"/>
    <w:styleLink w:val="AECOMSectionnumbering"/>
    <w:lvl w:ilvl="0">
      <w:start w:val="1"/>
      <w:numFmt w:val="decimalZero"/>
      <w:lvlText w:val="%1"/>
      <w:lvlJc w:val="left"/>
      <w:pPr>
        <w:ind w:left="1134" w:hanging="1134"/>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nsid w:val="18355887"/>
    <w:multiLevelType w:val="hybridMultilevel"/>
    <w:tmpl w:val="F71816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192A26E9"/>
    <w:multiLevelType w:val="multilevel"/>
    <w:tmpl w:val="08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1A8B00A2"/>
    <w:multiLevelType w:val="multilevel"/>
    <w:tmpl w:val="DB3C37A8"/>
    <w:name w:val="AECOM Outline numbering"/>
    <w:styleLink w:val="AECOMAppendix"/>
    <w:lvl w:ilvl="0">
      <w:start w:val="1"/>
      <w:numFmt w:val="upperLetter"/>
      <w:suff w:val="nothing"/>
      <w:lvlText w:val="Appendix %1  "/>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1D690BAB"/>
    <w:multiLevelType w:val="hybridMultilevel"/>
    <w:tmpl w:val="85E2BAD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5">
    <w:nsid w:val="1EA55A09"/>
    <w:multiLevelType w:val="hybridMultilevel"/>
    <w:tmpl w:val="935EEF9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228325AB"/>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23B62D49"/>
    <w:multiLevelType w:val="hybridMultilevel"/>
    <w:tmpl w:val="057CB13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nsid w:val="25002B64"/>
    <w:multiLevelType w:val="multilevel"/>
    <w:tmpl w:val="1F0C6658"/>
    <w:lvl w:ilvl="0">
      <w:start w:val="2"/>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9">
    <w:nsid w:val="28D35D07"/>
    <w:multiLevelType w:val="hybridMultilevel"/>
    <w:tmpl w:val="0E90E6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2A0118C5"/>
    <w:multiLevelType w:val="multilevel"/>
    <w:tmpl w:val="DC22BBC8"/>
    <w:styleLink w:val="AECOMTableBullets"/>
    <w:lvl w:ilvl="0">
      <w:start w:val="1"/>
      <w:numFmt w:val="bullet"/>
      <w:lvlText w:val=""/>
      <w:lvlJc w:val="left"/>
      <w:pPr>
        <w:ind w:left="284" w:hanging="284"/>
      </w:pPr>
      <w:rPr>
        <w:rFonts w:ascii="Symbol" w:hAnsi="Symbol" w:hint="default"/>
        <w:color w:val="auto"/>
      </w:rPr>
    </w:lvl>
    <w:lvl w:ilvl="1">
      <w:start w:val="1"/>
      <w:numFmt w:val="bullet"/>
      <w:lvlText w:val="─"/>
      <w:lvlJc w:val="left"/>
      <w:pPr>
        <w:ind w:left="568" w:hanging="284"/>
      </w:pPr>
      <w:rPr>
        <w:rFonts w:ascii="Calibri" w:hAnsi="Calibri" w:hint="default"/>
        <w:color w:val="auto"/>
      </w:rPr>
    </w:lvl>
    <w:lvl w:ilvl="2">
      <w:start w:val="1"/>
      <w:numFmt w:val="bullet"/>
      <w:lvlText w:val="o"/>
      <w:lvlJc w:val="left"/>
      <w:pPr>
        <w:ind w:left="852" w:hanging="284"/>
      </w:pPr>
      <w:rPr>
        <w:rFonts w:ascii="Courier New" w:hAnsi="Courier New" w:hint="default"/>
      </w:rPr>
    </w:lvl>
    <w:lvl w:ilvl="3">
      <w:start w:val="1"/>
      <w:numFmt w:val="bullet"/>
      <w:lvlText w:val=""/>
      <w:lvlJc w:val="left"/>
      <w:pPr>
        <w:ind w:left="1136" w:hanging="284"/>
      </w:pPr>
      <w:rPr>
        <w:rFonts w:ascii="Symbol" w:hAnsi="Symbol" w:hint="default"/>
        <w:color w:val="auto"/>
      </w:rPr>
    </w:lvl>
    <w:lvl w:ilvl="4">
      <w:start w:val="1"/>
      <w:numFmt w:val="bullet"/>
      <w:lvlText w:val="─"/>
      <w:lvlJc w:val="left"/>
      <w:pPr>
        <w:ind w:left="1420" w:hanging="284"/>
      </w:pPr>
      <w:rPr>
        <w:rFonts w:ascii="Calibri" w:hAnsi="Calibri" w:hint="default"/>
        <w:color w:val="auto"/>
      </w:rPr>
    </w:lvl>
    <w:lvl w:ilvl="5">
      <w:start w:val="1"/>
      <w:numFmt w:val="bullet"/>
      <w:lvlText w:val="o"/>
      <w:lvlJc w:val="left"/>
      <w:pPr>
        <w:ind w:left="1704" w:hanging="284"/>
      </w:pPr>
      <w:rPr>
        <w:rFonts w:ascii="Courier New" w:hAnsi="Courier New" w:hint="default"/>
      </w:rPr>
    </w:lvl>
    <w:lvl w:ilvl="6">
      <w:start w:val="1"/>
      <w:numFmt w:val="bullet"/>
      <w:lvlText w:val=""/>
      <w:lvlJc w:val="left"/>
      <w:pPr>
        <w:ind w:left="1988" w:hanging="284"/>
      </w:pPr>
      <w:rPr>
        <w:rFonts w:ascii="Symbol" w:hAnsi="Symbol" w:hint="default"/>
        <w:color w:val="auto"/>
      </w:rPr>
    </w:lvl>
    <w:lvl w:ilvl="7">
      <w:start w:val="1"/>
      <w:numFmt w:val="bullet"/>
      <w:lvlText w:val="─"/>
      <w:lvlJc w:val="left"/>
      <w:pPr>
        <w:ind w:left="2272" w:hanging="284"/>
      </w:pPr>
      <w:rPr>
        <w:rFonts w:ascii="Calibri" w:hAnsi="Calibri" w:hint="default"/>
        <w:color w:val="auto"/>
      </w:rPr>
    </w:lvl>
    <w:lvl w:ilvl="8">
      <w:start w:val="1"/>
      <w:numFmt w:val="bullet"/>
      <w:lvlText w:val="o"/>
      <w:lvlJc w:val="left"/>
      <w:pPr>
        <w:ind w:left="2556" w:hanging="284"/>
      </w:pPr>
      <w:rPr>
        <w:rFonts w:ascii="Courier New" w:hAnsi="Courier New" w:hint="default"/>
      </w:rPr>
    </w:lvl>
  </w:abstractNum>
  <w:abstractNum w:abstractNumId="21">
    <w:nsid w:val="3754570F"/>
    <w:multiLevelType w:val="multilevel"/>
    <w:tmpl w:val="97505A4E"/>
    <w:name w:val="AECOM Outline numbering3"/>
    <w:lvl w:ilvl="0">
      <w:start w:val="1"/>
      <w:numFmt w:val="upperLetter"/>
      <w:suff w:val="space"/>
      <w:lvlText w:val="Appendix %1"/>
      <w:lvlJc w:val="left"/>
      <w:pPr>
        <w:ind w:left="0" w:firstLine="0"/>
      </w:pPr>
      <w:rPr>
        <w:rFonts w:hint="default"/>
      </w:rPr>
    </w:lvl>
    <w:lvl w:ilvl="1">
      <w:start w:val="1"/>
      <w:numFmt w:val="decimal"/>
      <w:lvlText w:val="%1.%2"/>
      <w:lvlJc w:val="left"/>
      <w:pPr>
        <w:ind w:left="357" w:hanging="35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nsid w:val="3A383484"/>
    <w:multiLevelType w:val="multilevel"/>
    <w:tmpl w:val="60B68AA8"/>
    <w:styleLink w:val="AECOMTableNumbering"/>
    <w:lvl w:ilvl="0">
      <w:start w:val="1"/>
      <w:numFmt w:val="decimal"/>
      <w:pStyle w:val="TableListNumber"/>
      <w:lvlText w:val="%1."/>
      <w:lvlJc w:val="left"/>
      <w:pPr>
        <w:ind w:left="284" w:hanging="284"/>
      </w:pPr>
      <w:rPr>
        <w:rFonts w:hint="default"/>
      </w:rPr>
    </w:lvl>
    <w:lvl w:ilvl="1">
      <w:start w:val="1"/>
      <w:numFmt w:val="lowerLetter"/>
      <w:pStyle w:val="TableListNumber2"/>
      <w:lvlText w:val="%2."/>
      <w:lvlJc w:val="left"/>
      <w:pPr>
        <w:ind w:left="568" w:hanging="284"/>
      </w:pPr>
      <w:rPr>
        <w:rFonts w:hint="default"/>
      </w:rPr>
    </w:lvl>
    <w:lvl w:ilvl="2">
      <w:start w:val="1"/>
      <w:numFmt w:val="lowerRoman"/>
      <w:pStyle w:val="TableListNumber3"/>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23">
    <w:nsid w:val="3B880797"/>
    <w:multiLevelType w:val="hybridMultilevel"/>
    <w:tmpl w:val="DB7A937A"/>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24">
    <w:nsid w:val="3BE574D7"/>
    <w:multiLevelType w:val="hybridMultilevel"/>
    <w:tmpl w:val="774E7494"/>
    <w:lvl w:ilvl="0" w:tplc="0809000F">
      <w:start w:val="1"/>
      <w:numFmt w:val="decimal"/>
      <w:lvlText w:val="%1."/>
      <w:lvlJc w:val="left"/>
      <w:pPr>
        <w:ind w:left="775" w:hanging="360"/>
      </w:pPr>
    </w:lvl>
    <w:lvl w:ilvl="1" w:tplc="08090019" w:tentative="1">
      <w:start w:val="1"/>
      <w:numFmt w:val="lowerLetter"/>
      <w:lvlText w:val="%2."/>
      <w:lvlJc w:val="left"/>
      <w:pPr>
        <w:ind w:left="1495" w:hanging="360"/>
      </w:pPr>
    </w:lvl>
    <w:lvl w:ilvl="2" w:tplc="0809001B" w:tentative="1">
      <w:start w:val="1"/>
      <w:numFmt w:val="lowerRoman"/>
      <w:lvlText w:val="%3."/>
      <w:lvlJc w:val="right"/>
      <w:pPr>
        <w:ind w:left="2215" w:hanging="180"/>
      </w:pPr>
    </w:lvl>
    <w:lvl w:ilvl="3" w:tplc="0809000F" w:tentative="1">
      <w:start w:val="1"/>
      <w:numFmt w:val="decimal"/>
      <w:lvlText w:val="%4."/>
      <w:lvlJc w:val="left"/>
      <w:pPr>
        <w:ind w:left="2935" w:hanging="360"/>
      </w:pPr>
    </w:lvl>
    <w:lvl w:ilvl="4" w:tplc="08090019" w:tentative="1">
      <w:start w:val="1"/>
      <w:numFmt w:val="lowerLetter"/>
      <w:lvlText w:val="%5."/>
      <w:lvlJc w:val="left"/>
      <w:pPr>
        <w:ind w:left="3655" w:hanging="360"/>
      </w:pPr>
    </w:lvl>
    <w:lvl w:ilvl="5" w:tplc="0809001B" w:tentative="1">
      <w:start w:val="1"/>
      <w:numFmt w:val="lowerRoman"/>
      <w:lvlText w:val="%6."/>
      <w:lvlJc w:val="right"/>
      <w:pPr>
        <w:ind w:left="4375" w:hanging="180"/>
      </w:pPr>
    </w:lvl>
    <w:lvl w:ilvl="6" w:tplc="0809000F" w:tentative="1">
      <w:start w:val="1"/>
      <w:numFmt w:val="decimal"/>
      <w:lvlText w:val="%7."/>
      <w:lvlJc w:val="left"/>
      <w:pPr>
        <w:ind w:left="5095" w:hanging="360"/>
      </w:pPr>
    </w:lvl>
    <w:lvl w:ilvl="7" w:tplc="08090019" w:tentative="1">
      <w:start w:val="1"/>
      <w:numFmt w:val="lowerLetter"/>
      <w:lvlText w:val="%8."/>
      <w:lvlJc w:val="left"/>
      <w:pPr>
        <w:ind w:left="5815" w:hanging="360"/>
      </w:pPr>
    </w:lvl>
    <w:lvl w:ilvl="8" w:tplc="0809001B" w:tentative="1">
      <w:start w:val="1"/>
      <w:numFmt w:val="lowerRoman"/>
      <w:lvlText w:val="%9."/>
      <w:lvlJc w:val="right"/>
      <w:pPr>
        <w:ind w:left="6535" w:hanging="180"/>
      </w:pPr>
    </w:lvl>
  </w:abstractNum>
  <w:abstractNum w:abstractNumId="25">
    <w:nsid w:val="3EE04896"/>
    <w:multiLevelType w:val="hybridMultilevel"/>
    <w:tmpl w:val="D0F86BA8"/>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26">
    <w:nsid w:val="4644573A"/>
    <w:multiLevelType w:val="multilevel"/>
    <w:tmpl w:val="3F9A613A"/>
    <w:styleLink w:val="AECOMBullets"/>
    <w:lvl w:ilvl="0">
      <w:start w:val="1"/>
      <w:numFmt w:val="bullet"/>
      <w:lvlText w:val=""/>
      <w:lvlJc w:val="left"/>
      <w:pPr>
        <w:ind w:left="284" w:hanging="284"/>
      </w:pPr>
      <w:rPr>
        <w:rFonts w:ascii="Symbol" w:hAnsi="Symbol" w:hint="default"/>
        <w:color w:val="auto"/>
      </w:rPr>
    </w:lvl>
    <w:lvl w:ilvl="1">
      <w:start w:val="1"/>
      <w:numFmt w:val="bullet"/>
      <w:lvlText w:val="o"/>
      <w:lvlJc w:val="left"/>
      <w:pPr>
        <w:ind w:left="568" w:hanging="284"/>
      </w:pPr>
      <w:rPr>
        <w:rFonts w:ascii="Courier New" w:hAnsi="Courier New" w:hint="default"/>
        <w:color w:val="auto"/>
      </w:rPr>
    </w:lvl>
    <w:lvl w:ilvl="2">
      <w:start w:val="1"/>
      <w:numFmt w:val="bullet"/>
      <w:lvlText w:val="─"/>
      <w:lvlJc w:val="left"/>
      <w:pPr>
        <w:ind w:left="852" w:hanging="284"/>
      </w:pPr>
      <w:rPr>
        <w:rFonts w:ascii="Calibri" w:hAnsi="Calibri" w:hint="default"/>
        <w:color w:val="auto"/>
      </w:rPr>
    </w:lvl>
    <w:lvl w:ilvl="3">
      <w:start w:val="1"/>
      <w:numFmt w:val="bullet"/>
      <w:lvlText w:val=""/>
      <w:lvlJc w:val="left"/>
      <w:pPr>
        <w:ind w:left="1136" w:hanging="284"/>
      </w:pPr>
      <w:rPr>
        <w:rFonts w:ascii="Symbol" w:hAnsi="Symbol" w:hint="default"/>
      </w:rPr>
    </w:lvl>
    <w:lvl w:ilvl="4">
      <w:start w:val="1"/>
      <w:numFmt w:val="bullet"/>
      <w:lvlText w:val="o"/>
      <w:lvlJc w:val="left"/>
      <w:pPr>
        <w:ind w:left="1420" w:hanging="284"/>
      </w:pPr>
      <w:rPr>
        <w:rFonts w:ascii="Courier New" w:hAnsi="Courier New" w:hint="default"/>
      </w:rPr>
    </w:lvl>
    <w:lvl w:ilvl="5">
      <w:start w:val="1"/>
      <w:numFmt w:val="bullet"/>
      <w:lvlText w:val=""/>
      <w:lvlJc w:val="left"/>
      <w:pPr>
        <w:tabs>
          <w:tab w:val="num" w:pos="2346"/>
        </w:tabs>
        <w:ind w:left="1704" w:hanging="284"/>
      </w:pPr>
      <w:rPr>
        <w:rFonts w:ascii="Wingdings" w:hAnsi="Wingdings" w:hint="default"/>
      </w:rPr>
    </w:lvl>
    <w:lvl w:ilvl="6">
      <w:start w:val="1"/>
      <w:numFmt w:val="bullet"/>
      <w:lvlText w:val=""/>
      <w:lvlJc w:val="left"/>
      <w:pPr>
        <w:tabs>
          <w:tab w:val="num" w:pos="2630"/>
        </w:tabs>
        <w:ind w:left="1988" w:hanging="284"/>
      </w:pPr>
      <w:rPr>
        <w:rFonts w:ascii="Symbol" w:hAnsi="Symbol" w:hint="default"/>
      </w:rPr>
    </w:lvl>
    <w:lvl w:ilvl="7">
      <w:start w:val="1"/>
      <w:numFmt w:val="bullet"/>
      <w:lvlText w:val="o"/>
      <w:lvlJc w:val="left"/>
      <w:pPr>
        <w:tabs>
          <w:tab w:val="num" w:pos="2914"/>
        </w:tabs>
        <w:ind w:left="2272" w:hanging="284"/>
      </w:pPr>
      <w:rPr>
        <w:rFonts w:ascii="Courier New" w:hAnsi="Courier New" w:cs="Courier New" w:hint="default"/>
      </w:rPr>
    </w:lvl>
    <w:lvl w:ilvl="8">
      <w:start w:val="1"/>
      <w:numFmt w:val="bullet"/>
      <w:lvlText w:val=""/>
      <w:lvlJc w:val="left"/>
      <w:pPr>
        <w:tabs>
          <w:tab w:val="num" w:pos="3198"/>
        </w:tabs>
        <w:ind w:left="2556" w:hanging="284"/>
      </w:pPr>
      <w:rPr>
        <w:rFonts w:ascii="Wingdings" w:hAnsi="Wingdings" w:hint="default"/>
      </w:rPr>
    </w:lvl>
  </w:abstractNum>
  <w:abstractNum w:abstractNumId="27">
    <w:nsid w:val="4D0C0132"/>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nsid w:val="4E1549B9"/>
    <w:multiLevelType w:val="multilevel"/>
    <w:tmpl w:val="A4EC5F26"/>
    <w:lvl w:ilvl="0">
      <w:start w:val="1"/>
      <w:numFmt w:val="upperLetter"/>
      <w:pStyle w:val="Appendix"/>
      <w:suff w:val="space"/>
      <w:lvlText w:val="Appendix %1"/>
      <w:lvlJc w:val="left"/>
      <w:pPr>
        <w:ind w:left="0" w:firstLine="0"/>
      </w:pPr>
      <w:rPr>
        <w:rFonts w:hint="default"/>
      </w:rPr>
    </w:lvl>
    <w:lvl w:ilvl="1">
      <w:start w:val="1"/>
      <w:numFmt w:val="decimal"/>
      <w:pStyle w:val="Appendixheading2"/>
      <w:lvlText w:val="%1.%2"/>
      <w:lvlJc w:val="left"/>
      <w:pPr>
        <w:ind w:left="720" w:hanging="72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nsid w:val="4F926A09"/>
    <w:multiLevelType w:val="multilevel"/>
    <w:tmpl w:val="99F01D82"/>
    <w:lvl w:ilvl="0">
      <w:start w:val="1"/>
      <w:numFmt w:val="bullet"/>
      <w:pStyle w:val="TableListBullet"/>
      <w:lvlText w:val=""/>
      <w:lvlJc w:val="left"/>
      <w:pPr>
        <w:ind w:left="284" w:hanging="284"/>
      </w:pPr>
      <w:rPr>
        <w:rFonts w:ascii="Symbol" w:hAnsi="Symbol" w:hint="default"/>
        <w:color w:val="auto"/>
      </w:rPr>
    </w:lvl>
    <w:lvl w:ilvl="1">
      <w:start w:val="1"/>
      <w:numFmt w:val="bullet"/>
      <w:pStyle w:val="TableListBullet2"/>
      <w:lvlText w:val="─"/>
      <w:lvlJc w:val="left"/>
      <w:pPr>
        <w:ind w:left="568" w:hanging="284"/>
      </w:pPr>
      <w:rPr>
        <w:rFonts w:ascii="Calibri" w:hAnsi="Calibri" w:hint="default"/>
        <w:color w:val="auto"/>
      </w:rPr>
    </w:lvl>
    <w:lvl w:ilvl="2">
      <w:start w:val="1"/>
      <w:numFmt w:val="bullet"/>
      <w:pStyle w:val="TableListBullet3"/>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color w:val="auto"/>
      </w:rPr>
    </w:lvl>
    <w:lvl w:ilvl="4">
      <w:start w:val="1"/>
      <w:numFmt w:val="bullet"/>
      <w:lvlText w:val="─"/>
      <w:lvlJc w:val="left"/>
      <w:pPr>
        <w:ind w:left="1420" w:hanging="284"/>
      </w:pPr>
      <w:rPr>
        <w:rFonts w:ascii="Calibri" w:hAnsi="Calibri" w:hint="default"/>
        <w:color w:val="auto"/>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Symbol" w:hAnsi="Symbol" w:hint="default"/>
        <w:color w:val="auto"/>
      </w:rPr>
    </w:lvl>
    <w:lvl w:ilvl="7">
      <w:start w:val="1"/>
      <w:numFmt w:val="bullet"/>
      <w:lvlText w:val="─"/>
      <w:lvlJc w:val="left"/>
      <w:pPr>
        <w:ind w:left="2272" w:hanging="284"/>
      </w:pPr>
      <w:rPr>
        <w:rFonts w:ascii="Calibri" w:hAnsi="Calibri" w:hint="default"/>
        <w:color w:val="auto"/>
      </w:rPr>
    </w:lvl>
    <w:lvl w:ilvl="8">
      <w:start w:val="1"/>
      <w:numFmt w:val="bullet"/>
      <w:lvlText w:val=""/>
      <w:lvlJc w:val="left"/>
      <w:pPr>
        <w:ind w:left="2556" w:hanging="284"/>
      </w:pPr>
      <w:rPr>
        <w:rFonts w:ascii="Wingdings" w:hAnsi="Wingdings" w:hint="default"/>
      </w:rPr>
    </w:lvl>
  </w:abstractNum>
  <w:abstractNum w:abstractNumId="30">
    <w:nsid w:val="51880F48"/>
    <w:multiLevelType w:val="multilevel"/>
    <w:tmpl w:val="5B6227C6"/>
    <w:styleLink w:val="AECOMList"/>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lowerRoman"/>
      <w:lvlText w:val="%3."/>
      <w:lvlJc w:val="left"/>
      <w:pPr>
        <w:ind w:left="1071" w:hanging="357"/>
      </w:pPr>
      <w:rPr>
        <w:rFonts w:hint="default"/>
      </w:rPr>
    </w:lvl>
    <w:lvl w:ilvl="3">
      <w:start w:val="1"/>
      <w:numFmt w:val="decimal"/>
      <w:lvlText w:val="%4."/>
      <w:lvlJc w:val="left"/>
      <w:pPr>
        <w:tabs>
          <w:tab w:val="num" w:pos="1431"/>
        </w:tabs>
        <w:ind w:left="1428" w:hanging="357"/>
      </w:pPr>
      <w:rPr>
        <w:rFonts w:hint="default"/>
      </w:rPr>
    </w:lvl>
    <w:lvl w:ilvl="4">
      <w:start w:val="1"/>
      <w:numFmt w:val="lowerLetter"/>
      <w:lvlText w:val="%5."/>
      <w:lvlJc w:val="left"/>
      <w:pPr>
        <w:tabs>
          <w:tab w:val="num" w:pos="1788"/>
        </w:tabs>
        <w:ind w:left="1785" w:hanging="357"/>
      </w:pPr>
      <w:rPr>
        <w:rFonts w:hint="default"/>
      </w:rPr>
    </w:lvl>
    <w:lvl w:ilvl="5">
      <w:start w:val="1"/>
      <w:numFmt w:val="lowerRoman"/>
      <w:lvlText w:val="%6."/>
      <w:lvlJc w:val="right"/>
      <w:pPr>
        <w:tabs>
          <w:tab w:val="num" w:pos="2145"/>
        </w:tabs>
        <w:ind w:left="2142" w:hanging="357"/>
      </w:pPr>
      <w:rPr>
        <w:rFonts w:hint="default"/>
      </w:rPr>
    </w:lvl>
    <w:lvl w:ilvl="6">
      <w:start w:val="1"/>
      <w:numFmt w:val="decimal"/>
      <w:lvlText w:val="%7."/>
      <w:lvlJc w:val="left"/>
      <w:pPr>
        <w:tabs>
          <w:tab w:val="num" w:pos="2502"/>
        </w:tabs>
        <w:ind w:left="2499" w:hanging="357"/>
      </w:pPr>
      <w:rPr>
        <w:rFonts w:hint="default"/>
      </w:rPr>
    </w:lvl>
    <w:lvl w:ilvl="7">
      <w:start w:val="1"/>
      <w:numFmt w:val="lowerLetter"/>
      <w:lvlText w:val="%8."/>
      <w:lvlJc w:val="left"/>
      <w:pPr>
        <w:tabs>
          <w:tab w:val="num" w:pos="2859"/>
        </w:tabs>
        <w:ind w:left="2856" w:hanging="357"/>
      </w:pPr>
      <w:rPr>
        <w:rFonts w:hint="default"/>
      </w:rPr>
    </w:lvl>
    <w:lvl w:ilvl="8">
      <w:start w:val="1"/>
      <w:numFmt w:val="lowerRoman"/>
      <w:lvlText w:val="%9."/>
      <w:lvlJc w:val="right"/>
      <w:pPr>
        <w:tabs>
          <w:tab w:val="num" w:pos="3216"/>
        </w:tabs>
        <w:ind w:left="3213" w:hanging="357"/>
      </w:pPr>
      <w:rPr>
        <w:rFonts w:hint="default"/>
      </w:rPr>
    </w:lvl>
  </w:abstractNum>
  <w:abstractNum w:abstractNumId="31">
    <w:nsid w:val="51962F48"/>
    <w:multiLevelType w:val="multilevel"/>
    <w:tmpl w:val="4762DD5A"/>
    <w:lvl w:ilvl="0">
      <w:start w:val="1"/>
      <w:numFmt w:val="bullet"/>
      <w:lvlText w:val=""/>
      <w:lvlJc w:val="left"/>
      <w:pPr>
        <w:ind w:left="1145" w:hanging="425"/>
      </w:pPr>
      <w:rPr>
        <w:rFonts w:ascii="Symbol" w:hAnsi="Symbol" w:hint="default"/>
        <w:sz w:val="18"/>
        <w:szCs w:val="18"/>
      </w:rPr>
    </w:lvl>
    <w:lvl w:ilvl="1">
      <w:start w:val="1"/>
      <w:numFmt w:val="lowerLetter"/>
      <w:lvlText w:val="%2."/>
      <w:lvlJc w:val="left"/>
      <w:pPr>
        <w:tabs>
          <w:tab w:val="num" w:pos="1570"/>
        </w:tabs>
        <w:ind w:left="1570" w:hanging="425"/>
      </w:pPr>
      <w:rPr>
        <w:rFonts w:hint="default"/>
      </w:rPr>
    </w:lvl>
    <w:lvl w:ilvl="2">
      <w:start w:val="1"/>
      <w:numFmt w:val="lowerRoman"/>
      <w:lvlText w:val="%3."/>
      <w:lvlJc w:val="left"/>
      <w:pPr>
        <w:tabs>
          <w:tab w:val="num" w:pos="1995"/>
        </w:tabs>
        <w:ind w:left="1995" w:hanging="425"/>
      </w:pPr>
      <w:rPr>
        <w:rFonts w:hint="default"/>
      </w:rPr>
    </w:lvl>
    <w:lvl w:ilvl="3">
      <w:start w:val="1"/>
      <w:numFmt w:val="decimal"/>
      <w:lvlText w:val="%4."/>
      <w:lvlJc w:val="left"/>
      <w:pPr>
        <w:tabs>
          <w:tab w:val="num" w:pos="2420"/>
        </w:tabs>
        <w:ind w:left="2420" w:hanging="425"/>
      </w:pPr>
      <w:rPr>
        <w:rFonts w:hint="default"/>
      </w:rPr>
    </w:lvl>
    <w:lvl w:ilvl="4">
      <w:start w:val="1"/>
      <w:numFmt w:val="lowerLetter"/>
      <w:lvlText w:val="%5."/>
      <w:lvlJc w:val="left"/>
      <w:pPr>
        <w:tabs>
          <w:tab w:val="num" w:pos="2845"/>
        </w:tabs>
        <w:ind w:left="2845" w:hanging="425"/>
      </w:pPr>
      <w:rPr>
        <w:rFonts w:hint="default"/>
      </w:rPr>
    </w:lvl>
    <w:lvl w:ilvl="5">
      <w:start w:val="1"/>
      <w:numFmt w:val="lowerRoman"/>
      <w:lvlText w:val="%6."/>
      <w:lvlJc w:val="right"/>
      <w:pPr>
        <w:tabs>
          <w:tab w:val="num" w:pos="3270"/>
        </w:tabs>
        <w:ind w:left="3270" w:hanging="425"/>
      </w:pPr>
      <w:rPr>
        <w:rFonts w:hint="default"/>
      </w:rPr>
    </w:lvl>
    <w:lvl w:ilvl="6">
      <w:start w:val="1"/>
      <w:numFmt w:val="decimal"/>
      <w:lvlText w:val="%7."/>
      <w:lvlJc w:val="left"/>
      <w:pPr>
        <w:tabs>
          <w:tab w:val="num" w:pos="3695"/>
        </w:tabs>
        <w:ind w:left="3695" w:hanging="425"/>
      </w:pPr>
      <w:rPr>
        <w:rFonts w:hint="default"/>
      </w:rPr>
    </w:lvl>
    <w:lvl w:ilvl="7">
      <w:start w:val="1"/>
      <w:numFmt w:val="lowerLetter"/>
      <w:lvlText w:val="%8."/>
      <w:lvlJc w:val="left"/>
      <w:pPr>
        <w:tabs>
          <w:tab w:val="num" w:pos="4120"/>
        </w:tabs>
        <w:ind w:left="4120" w:hanging="425"/>
      </w:pPr>
      <w:rPr>
        <w:rFonts w:hint="default"/>
      </w:rPr>
    </w:lvl>
    <w:lvl w:ilvl="8">
      <w:start w:val="1"/>
      <w:numFmt w:val="lowerRoman"/>
      <w:lvlText w:val="%9."/>
      <w:lvlJc w:val="right"/>
      <w:pPr>
        <w:tabs>
          <w:tab w:val="num" w:pos="4545"/>
        </w:tabs>
        <w:ind w:left="4545" w:hanging="425"/>
      </w:pPr>
      <w:rPr>
        <w:rFonts w:hint="default"/>
      </w:rPr>
    </w:lvl>
  </w:abstractNum>
  <w:abstractNum w:abstractNumId="32">
    <w:nsid w:val="54AE523E"/>
    <w:multiLevelType w:val="hybridMultilevel"/>
    <w:tmpl w:val="9B74234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553D5D63"/>
    <w:multiLevelType w:val="hybridMultilevel"/>
    <w:tmpl w:val="97A04DD8"/>
    <w:lvl w:ilvl="0" w:tplc="5ADE5A42">
      <w:start w:val="1"/>
      <w:numFmt w:val="decimal"/>
      <w:lvlText w:val="%1."/>
      <w:lvlJc w:val="left"/>
      <w:pPr>
        <w:ind w:left="360" w:hanging="360"/>
      </w:pPr>
      <w:rPr>
        <w:b w:val="0"/>
        <w:i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nsid w:val="5571285C"/>
    <w:multiLevelType w:val="multilevel"/>
    <w:tmpl w:val="5442DFBE"/>
    <w:name w:val="AECOM Outline numbering2"/>
    <w:lvl w:ilvl="0">
      <w:start w:val="1"/>
      <w:numFmt w:val="decimal"/>
      <w:lvlRestart w:val="0"/>
      <w:lvlText w:val="%1."/>
      <w:lvlJc w:val="left"/>
      <w:pPr>
        <w:tabs>
          <w:tab w:val="num" w:pos="850"/>
        </w:tabs>
        <w:ind w:left="850" w:hanging="850"/>
      </w:pPr>
      <w:rPr>
        <w:rFonts w:hint="default"/>
      </w:rPr>
    </w:lvl>
    <w:lvl w:ilvl="1">
      <w:start w:val="1"/>
      <w:numFmt w:val="decimal"/>
      <w:lvlText w:val="%1.%2"/>
      <w:lvlJc w:val="left"/>
      <w:pPr>
        <w:tabs>
          <w:tab w:val="num" w:pos="850"/>
        </w:tabs>
        <w:ind w:left="850"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decimal"/>
      <w:pStyle w:val="Heading5"/>
      <w:lvlText w:val="%1.%2.%3.%4.%5"/>
      <w:lvlJc w:val="left"/>
      <w:pPr>
        <w:tabs>
          <w:tab w:val="num" w:pos="850"/>
        </w:tabs>
        <w:ind w:left="850" w:hanging="850"/>
      </w:pPr>
      <w:rPr>
        <w:rFonts w:hint="default"/>
      </w:rPr>
    </w:lvl>
    <w:lvl w:ilvl="5">
      <w:start w:val="1"/>
      <w:numFmt w:val="decimal"/>
      <w:lvlText w:val="%1.%2.%3.%4.%5.%6"/>
      <w:lvlJc w:val="left"/>
      <w:pPr>
        <w:tabs>
          <w:tab w:val="num" w:pos="850"/>
        </w:tabs>
        <w:ind w:left="850" w:hanging="850"/>
      </w:pPr>
      <w:rPr>
        <w:rFonts w:hint="default"/>
      </w:rPr>
    </w:lvl>
    <w:lvl w:ilvl="6">
      <w:start w:val="1"/>
      <w:numFmt w:val="decimal"/>
      <w:lvlText w:val="%1.%2.%3.%4.%5.%6.%7"/>
      <w:lvlJc w:val="left"/>
      <w:pPr>
        <w:tabs>
          <w:tab w:val="num" w:pos="850"/>
        </w:tabs>
        <w:ind w:left="850" w:hanging="850"/>
      </w:pPr>
      <w:rPr>
        <w:rFonts w:hint="default"/>
      </w:rPr>
    </w:lvl>
    <w:lvl w:ilvl="7">
      <w:start w:val="1"/>
      <w:numFmt w:val="decimal"/>
      <w:lvlText w:val="%1.%2.%3.%4.%5.%6.%7.%8"/>
      <w:lvlJc w:val="left"/>
      <w:pPr>
        <w:tabs>
          <w:tab w:val="num" w:pos="850"/>
        </w:tabs>
        <w:ind w:left="850" w:hanging="850"/>
      </w:pPr>
      <w:rPr>
        <w:rFonts w:hint="default"/>
      </w:rPr>
    </w:lvl>
    <w:lvl w:ilvl="8">
      <w:start w:val="1"/>
      <w:numFmt w:val="decimal"/>
      <w:lvlText w:val="%1.%2.%3.%4.%5.%6.%7.%8.%9"/>
      <w:lvlJc w:val="left"/>
      <w:pPr>
        <w:tabs>
          <w:tab w:val="num" w:pos="850"/>
        </w:tabs>
        <w:ind w:left="850" w:hanging="850"/>
      </w:pPr>
      <w:rPr>
        <w:rFonts w:hint="default"/>
      </w:rPr>
    </w:lvl>
  </w:abstractNum>
  <w:abstractNum w:abstractNumId="35">
    <w:nsid w:val="59D05093"/>
    <w:multiLevelType w:val="hybridMultilevel"/>
    <w:tmpl w:val="BE08D3C2"/>
    <w:lvl w:ilvl="0" w:tplc="08090001">
      <w:start w:val="1"/>
      <w:numFmt w:val="bullet"/>
      <w:lvlText w:val=""/>
      <w:lvlJc w:val="left"/>
      <w:pPr>
        <w:ind w:left="861" w:hanging="360"/>
      </w:pPr>
      <w:rPr>
        <w:rFonts w:ascii="Symbol" w:hAnsi="Symbol" w:hint="default"/>
      </w:rPr>
    </w:lvl>
    <w:lvl w:ilvl="1" w:tplc="08090003" w:tentative="1">
      <w:start w:val="1"/>
      <w:numFmt w:val="bullet"/>
      <w:lvlText w:val="o"/>
      <w:lvlJc w:val="left"/>
      <w:pPr>
        <w:ind w:left="1581" w:hanging="360"/>
      </w:pPr>
      <w:rPr>
        <w:rFonts w:ascii="Courier New" w:hAnsi="Courier New" w:cs="Courier New" w:hint="default"/>
      </w:rPr>
    </w:lvl>
    <w:lvl w:ilvl="2" w:tplc="08090005" w:tentative="1">
      <w:start w:val="1"/>
      <w:numFmt w:val="bullet"/>
      <w:lvlText w:val=""/>
      <w:lvlJc w:val="left"/>
      <w:pPr>
        <w:ind w:left="2301" w:hanging="360"/>
      </w:pPr>
      <w:rPr>
        <w:rFonts w:ascii="Wingdings" w:hAnsi="Wingdings" w:hint="default"/>
      </w:rPr>
    </w:lvl>
    <w:lvl w:ilvl="3" w:tplc="08090001" w:tentative="1">
      <w:start w:val="1"/>
      <w:numFmt w:val="bullet"/>
      <w:lvlText w:val=""/>
      <w:lvlJc w:val="left"/>
      <w:pPr>
        <w:ind w:left="3021" w:hanging="360"/>
      </w:pPr>
      <w:rPr>
        <w:rFonts w:ascii="Symbol" w:hAnsi="Symbol" w:hint="default"/>
      </w:rPr>
    </w:lvl>
    <w:lvl w:ilvl="4" w:tplc="08090003" w:tentative="1">
      <w:start w:val="1"/>
      <w:numFmt w:val="bullet"/>
      <w:lvlText w:val="o"/>
      <w:lvlJc w:val="left"/>
      <w:pPr>
        <w:ind w:left="3741" w:hanging="360"/>
      </w:pPr>
      <w:rPr>
        <w:rFonts w:ascii="Courier New" w:hAnsi="Courier New" w:cs="Courier New" w:hint="default"/>
      </w:rPr>
    </w:lvl>
    <w:lvl w:ilvl="5" w:tplc="08090005" w:tentative="1">
      <w:start w:val="1"/>
      <w:numFmt w:val="bullet"/>
      <w:lvlText w:val=""/>
      <w:lvlJc w:val="left"/>
      <w:pPr>
        <w:ind w:left="4461" w:hanging="360"/>
      </w:pPr>
      <w:rPr>
        <w:rFonts w:ascii="Wingdings" w:hAnsi="Wingdings" w:hint="default"/>
      </w:rPr>
    </w:lvl>
    <w:lvl w:ilvl="6" w:tplc="08090001" w:tentative="1">
      <w:start w:val="1"/>
      <w:numFmt w:val="bullet"/>
      <w:lvlText w:val=""/>
      <w:lvlJc w:val="left"/>
      <w:pPr>
        <w:ind w:left="5181" w:hanging="360"/>
      </w:pPr>
      <w:rPr>
        <w:rFonts w:ascii="Symbol" w:hAnsi="Symbol" w:hint="default"/>
      </w:rPr>
    </w:lvl>
    <w:lvl w:ilvl="7" w:tplc="08090003" w:tentative="1">
      <w:start w:val="1"/>
      <w:numFmt w:val="bullet"/>
      <w:lvlText w:val="o"/>
      <w:lvlJc w:val="left"/>
      <w:pPr>
        <w:ind w:left="5901" w:hanging="360"/>
      </w:pPr>
      <w:rPr>
        <w:rFonts w:ascii="Courier New" w:hAnsi="Courier New" w:cs="Courier New" w:hint="default"/>
      </w:rPr>
    </w:lvl>
    <w:lvl w:ilvl="8" w:tplc="08090005" w:tentative="1">
      <w:start w:val="1"/>
      <w:numFmt w:val="bullet"/>
      <w:lvlText w:val=""/>
      <w:lvlJc w:val="left"/>
      <w:pPr>
        <w:ind w:left="6621" w:hanging="360"/>
      </w:pPr>
      <w:rPr>
        <w:rFonts w:ascii="Wingdings" w:hAnsi="Wingdings" w:hint="default"/>
      </w:rPr>
    </w:lvl>
  </w:abstractNum>
  <w:abstractNum w:abstractNumId="36">
    <w:nsid w:val="659A027C"/>
    <w:multiLevelType w:val="multilevel"/>
    <w:tmpl w:val="FD1837C8"/>
    <w:lvl w:ilvl="0">
      <w:start w:val="1"/>
      <w:numFmt w:val="decimal"/>
      <w:pStyle w:val="ListNumber"/>
      <w:lvlText w:val="%1."/>
      <w:lvlJc w:val="left"/>
      <w:pPr>
        <w:ind w:left="425" w:hanging="425"/>
      </w:pPr>
      <w:rPr>
        <w:rFonts w:hint="default"/>
        <w:color w:val="auto"/>
        <w:sz w:val="18"/>
        <w:szCs w:val="18"/>
      </w:rPr>
    </w:lvl>
    <w:lvl w:ilvl="1">
      <w:start w:val="1"/>
      <w:numFmt w:val="lowerLetter"/>
      <w:pStyle w:val="ListNumber2"/>
      <w:lvlText w:val="%2."/>
      <w:lvlJc w:val="left"/>
      <w:pPr>
        <w:tabs>
          <w:tab w:val="num" w:pos="850"/>
        </w:tabs>
        <w:ind w:left="850" w:hanging="425"/>
      </w:pPr>
      <w:rPr>
        <w:rFonts w:hint="default"/>
      </w:rPr>
    </w:lvl>
    <w:lvl w:ilvl="2">
      <w:start w:val="1"/>
      <w:numFmt w:val="lowerRoman"/>
      <w:pStyle w:val="ListNumber3"/>
      <w:lvlText w:val="%3."/>
      <w:lvlJc w:val="left"/>
      <w:pPr>
        <w:tabs>
          <w:tab w:val="num" w:pos="1275"/>
        </w:tabs>
        <w:ind w:left="1275" w:hanging="425"/>
      </w:pPr>
      <w:rPr>
        <w:rFonts w:hint="default"/>
      </w:rPr>
    </w:lvl>
    <w:lvl w:ilvl="3">
      <w:start w:val="1"/>
      <w:numFmt w:val="decimal"/>
      <w:lvlText w:val="%4."/>
      <w:lvlJc w:val="left"/>
      <w:pPr>
        <w:tabs>
          <w:tab w:val="num" w:pos="1700"/>
        </w:tabs>
        <w:ind w:left="1700" w:hanging="425"/>
      </w:pPr>
      <w:rPr>
        <w:rFonts w:hint="default"/>
      </w:rPr>
    </w:lvl>
    <w:lvl w:ilvl="4">
      <w:start w:val="1"/>
      <w:numFmt w:val="lowerLetter"/>
      <w:lvlText w:val="%5."/>
      <w:lvlJc w:val="left"/>
      <w:pPr>
        <w:tabs>
          <w:tab w:val="num" w:pos="2125"/>
        </w:tabs>
        <w:ind w:left="2125" w:hanging="425"/>
      </w:pPr>
      <w:rPr>
        <w:rFonts w:hint="default"/>
      </w:rPr>
    </w:lvl>
    <w:lvl w:ilvl="5">
      <w:start w:val="1"/>
      <w:numFmt w:val="lowerRoman"/>
      <w:lvlText w:val="%6."/>
      <w:lvlJc w:val="right"/>
      <w:pPr>
        <w:tabs>
          <w:tab w:val="num" w:pos="2550"/>
        </w:tabs>
        <w:ind w:left="2550" w:hanging="425"/>
      </w:pPr>
      <w:rPr>
        <w:rFonts w:hint="default"/>
      </w:rPr>
    </w:lvl>
    <w:lvl w:ilvl="6">
      <w:start w:val="1"/>
      <w:numFmt w:val="decimal"/>
      <w:lvlText w:val="%7."/>
      <w:lvlJc w:val="left"/>
      <w:pPr>
        <w:tabs>
          <w:tab w:val="num" w:pos="2975"/>
        </w:tabs>
        <w:ind w:left="2975" w:hanging="425"/>
      </w:pPr>
      <w:rPr>
        <w:rFonts w:hint="default"/>
      </w:rPr>
    </w:lvl>
    <w:lvl w:ilvl="7">
      <w:start w:val="1"/>
      <w:numFmt w:val="lowerLetter"/>
      <w:lvlText w:val="%8."/>
      <w:lvlJc w:val="left"/>
      <w:pPr>
        <w:tabs>
          <w:tab w:val="num" w:pos="3400"/>
        </w:tabs>
        <w:ind w:left="3400" w:hanging="425"/>
      </w:pPr>
      <w:rPr>
        <w:rFonts w:hint="default"/>
      </w:rPr>
    </w:lvl>
    <w:lvl w:ilvl="8">
      <w:start w:val="1"/>
      <w:numFmt w:val="lowerRoman"/>
      <w:lvlText w:val="%9."/>
      <w:lvlJc w:val="right"/>
      <w:pPr>
        <w:tabs>
          <w:tab w:val="num" w:pos="3825"/>
        </w:tabs>
        <w:ind w:left="3825" w:hanging="425"/>
      </w:pPr>
      <w:rPr>
        <w:rFonts w:hint="default"/>
      </w:rPr>
    </w:lvl>
  </w:abstractNum>
  <w:abstractNum w:abstractNumId="37">
    <w:nsid w:val="68FF5876"/>
    <w:multiLevelType w:val="hybridMultilevel"/>
    <w:tmpl w:val="F440BB5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8">
    <w:nsid w:val="6EFE498B"/>
    <w:multiLevelType w:val="multilevel"/>
    <w:tmpl w:val="D88893D6"/>
    <w:lvl w:ilvl="0">
      <w:start w:val="1"/>
      <w:numFmt w:val="bullet"/>
      <w:pStyle w:val="ListBullet"/>
      <w:lvlText w:val=""/>
      <w:lvlJc w:val="left"/>
      <w:pPr>
        <w:tabs>
          <w:tab w:val="num" w:pos="1145"/>
        </w:tabs>
        <w:ind w:left="1145" w:hanging="425"/>
      </w:pPr>
      <w:rPr>
        <w:rFonts w:ascii="Symbol" w:hAnsi="Symbol" w:hint="default"/>
        <w:color w:val="auto"/>
      </w:rPr>
    </w:lvl>
    <w:lvl w:ilvl="1">
      <w:start w:val="1"/>
      <w:numFmt w:val="bullet"/>
      <w:pStyle w:val="ListBullet2"/>
      <w:lvlText w:val="─"/>
      <w:lvlJc w:val="left"/>
      <w:pPr>
        <w:tabs>
          <w:tab w:val="num" w:pos="1571"/>
        </w:tabs>
        <w:ind w:left="1570" w:hanging="425"/>
      </w:pPr>
      <w:rPr>
        <w:rFonts w:ascii="Calibri" w:hAnsi="Calibri" w:hint="default"/>
        <w:color w:val="auto"/>
      </w:rPr>
    </w:lvl>
    <w:lvl w:ilvl="2">
      <w:start w:val="1"/>
      <w:numFmt w:val="bullet"/>
      <w:pStyle w:val="ListBullet3"/>
      <w:lvlText w:val=""/>
      <w:lvlJc w:val="left"/>
      <w:pPr>
        <w:tabs>
          <w:tab w:val="num" w:pos="1996"/>
        </w:tabs>
        <w:ind w:left="1995" w:hanging="425"/>
      </w:pPr>
      <w:rPr>
        <w:rFonts w:ascii="Wingdings" w:hAnsi="Wingdings" w:hint="default"/>
        <w:color w:val="auto"/>
      </w:rPr>
    </w:lvl>
    <w:lvl w:ilvl="3">
      <w:start w:val="1"/>
      <w:numFmt w:val="bullet"/>
      <w:lvlText w:val=""/>
      <w:lvlJc w:val="left"/>
      <w:pPr>
        <w:ind w:left="2420" w:hanging="425"/>
      </w:pPr>
      <w:rPr>
        <w:rFonts w:ascii="Symbol" w:hAnsi="Symbol" w:hint="default"/>
      </w:rPr>
    </w:lvl>
    <w:lvl w:ilvl="4">
      <w:start w:val="1"/>
      <w:numFmt w:val="bullet"/>
      <w:lvlText w:val="─"/>
      <w:lvlJc w:val="left"/>
      <w:pPr>
        <w:ind w:left="2845" w:hanging="425"/>
      </w:pPr>
      <w:rPr>
        <w:rFonts w:ascii="Calibri" w:hAnsi="Calibri" w:hint="default"/>
        <w:color w:val="auto"/>
      </w:rPr>
    </w:lvl>
    <w:lvl w:ilvl="5">
      <w:start w:val="1"/>
      <w:numFmt w:val="bullet"/>
      <w:lvlText w:val=""/>
      <w:lvlJc w:val="left"/>
      <w:pPr>
        <w:tabs>
          <w:tab w:val="num" w:pos="3066"/>
        </w:tabs>
        <w:ind w:left="3270" w:hanging="425"/>
      </w:pPr>
      <w:rPr>
        <w:rFonts w:ascii="Wingdings" w:hAnsi="Wingdings" w:hint="default"/>
      </w:rPr>
    </w:lvl>
    <w:lvl w:ilvl="6">
      <w:start w:val="1"/>
      <w:numFmt w:val="bullet"/>
      <w:lvlText w:val=""/>
      <w:lvlJc w:val="left"/>
      <w:pPr>
        <w:tabs>
          <w:tab w:val="num" w:pos="3350"/>
        </w:tabs>
        <w:ind w:left="3695" w:hanging="425"/>
      </w:pPr>
      <w:rPr>
        <w:rFonts w:ascii="Symbol" w:hAnsi="Symbol" w:hint="default"/>
      </w:rPr>
    </w:lvl>
    <w:lvl w:ilvl="7">
      <w:start w:val="1"/>
      <w:numFmt w:val="bullet"/>
      <w:lvlText w:val="─"/>
      <w:lvlJc w:val="left"/>
      <w:pPr>
        <w:tabs>
          <w:tab w:val="num" w:pos="3634"/>
        </w:tabs>
        <w:ind w:left="4120" w:hanging="425"/>
      </w:pPr>
      <w:rPr>
        <w:rFonts w:ascii="Calibri" w:hAnsi="Calibri" w:hint="default"/>
        <w:color w:val="auto"/>
      </w:rPr>
    </w:lvl>
    <w:lvl w:ilvl="8">
      <w:start w:val="1"/>
      <w:numFmt w:val="bullet"/>
      <w:lvlText w:val=""/>
      <w:lvlJc w:val="left"/>
      <w:pPr>
        <w:tabs>
          <w:tab w:val="num" w:pos="3918"/>
        </w:tabs>
        <w:ind w:left="4545" w:hanging="425"/>
      </w:pPr>
      <w:rPr>
        <w:rFonts w:ascii="Wingdings" w:hAnsi="Wingdings" w:hint="default"/>
      </w:rPr>
    </w:lvl>
  </w:abstractNum>
  <w:abstractNum w:abstractNumId="39">
    <w:nsid w:val="6FD6371B"/>
    <w:multiLevelType w:val="multilevel"/>
    <w:tmpl w:val="FF424816"/>
    <w:lvl w:ilvl="0">
      <w:start w:val="102"/>
      <w:numFmt w:val="decimal"/>
      <w:lvlText w:val="%1."/>
      <w:lvlJc w:val="left"/>
      <w:pPr>
        <w:ind w:left="540" w:hanging="540"/>
      </w:pPr>
      <w:rPr>
        <w:rFonts w:hint="default"/>
      </w:rPr>
    </w:lvl>
    <w:lvl w:ilvl="1">
      <w:start w:val="2"/>
      <w:numFmt w:val="decimal"/>
      <w:lvlText w:val="%1.%2."/>
      <w:lvlJc w:val="left"/>
      <w:pPr>
        <w:ind w:left="1260" w:hanging="720"/>
      </w:pPr>
      <w:rPr>
        <w:rFonts w:hint="default"/>
      </w:rPr>
    </w:lvl>
    <w:lvl w:ilvl="2">
      <w:start w:val="6"/>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120" w:hanging="1800"/>
      </w:pPr>
      <w:rPr>
        <w:rFonts w:hint="default"/>
      </w:rPr>
    </w:lvl>
  </w:abstractNum>
  <w:num w:numId="1">
    <w:abstractNumId w:val="26"/>
  </w:num>
  <w:num w:numId="2">
    <w:abstractNumId w:val="30"/>
  </w:num>
  <w:num w:numId="3">
    <w:abstractNumId w:val="3"/>
  </w:num>
  <w:num w:numId="4">
    <w:abstractNumId w:val="2"/>
  </w:num>
  <w:num w:numId="5">
    <w:abstractNumId w:val="1"/>
  </w:num>
  <w:num w:numId="6">
    <w:abstractNumId w:val="0"/>
  </w:num>
  <w:num w:numId="7">
    <w:abstractNumId w:val="9"/>
  </w:num>
  <w:num w:numId="8">
    <w:abstractNumId w:val="13"/>
  </w:num>
  <w:num w:numId="9">
    <w:abstractNumId w:val="34"/>
  </w:num>
  <w:num w:numId="10">
    <w:abstractNumId w:val="10"/>
  </w:num>
  <w:num w:numId="11">
    <w:abstractNumId w:val="16"/>
  </w:num>
  <w:num w:numId="12">
    <w:abstractNumId w:val="27"/>
  </w:num>
  <w:num w:numId="13">
    <w:abstractNumId w:val="12"/>
  </w:num>
  <w:num w:numId="14">
    <w:abstractNumId w:val="38"/>
  </w:num>
  <w:num w:numId="15">
    <w:abstractNumId w:val="36"/>
  </w:num>
  <w:num w:numId="16">
    <w:abstractNumId w:val="20"/>
  </w:num>
  <w:num w:numId="17">
    <w:abstractNumId w:val="22"/>
  </w:num>
  <w:num w:numId="18">
    <w:abstractNumId w:val="22"/>
  </w:num>
  <w:num w:numId="19">
    <w:abstractNumId w:val="29"/>
  </w:num>
  <w:num w:numId="20">
    <w:abstractNumId w:val="7"/>
  </w:num>
  <w:num w:numId="21">
    <w:abstractNumId w:val="28"/>
  </w:num>
  <w:num w:numId="22">
    <w:abstractNumId w:val="23"/>
  </w:num>
  <w:num w:numId="23">
    <w:abstractNumId w:val="25"/>
  </w:num>
  <w:num w:numId="24">
    <w:abstractNumId w:val="24"/>
  </w:num>
  <w:num w:numId="25">
    <w:abstractNumId w:val="31"/>
  </w:num>
  <w:num w:numId="26">
    <w:abstractNumId w:val="5"/>
  </w:num>
  <w:num w:numId="27">
    <w:abstractNumId w:val="17"/>
  </w:num>
  <w:num w:numId="28">
    <w:abstractNumId w:val="33"/>
  </w:num>
  <w:num w:numId="29">
    <w:abstractNumId w:val="8"/>
  </w:num>
  <w:num w:numId="30">
    <w:abstractNumId w:val="6"/>
  </w:num>
  <w:num w:numId="31">
    <w:abstractNumId w:val="35"/>
  </w:num>
  <w:num w:numId="3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4"/>
  </w:num>
  <w:num w:numId="34">
    <w:abstractNumId w:val="15"/>
  </w:num>
  <w:num w:numId="35">
    <w:abstractNumId w:val="4"/>
  </w:num>
  <w:num w:numId="36">
    <w:abstractNumId w:val="37"/>
  </w:num>
  <w:num w:numId="3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9"/>
  </w:num>
  <w:num w:numId="39">
    <w:abstractNumId w:val="7"/>
    <w:lvlOverride w:ilvl="0">
      <w:startOverride w:val="1"/>
    </w:lvlOverride>
    <w:lvlOverride w:ilvl="1">
      <w:startOverride w:val="1"/>
    </w:lvlOverride>
  </w:num>
  <w:num w:numId="40">
    <w:abstractNumId w:val="11"/>
  </w:num>
  <w:num w:numId="41">
    <w:abstractNumId w:val="18"/>
  </w:num>
  <w:num w:numId="42">
    <w:abstractNumId w:val="39"/>
  </w:num>
  <w:num w:numId="43">
    <w:abstractNumId w:val="32"/>
  </w:num>
  <w:numIdMacAtCleanup w:val="2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Corbin, Thomas">
    <w15:presenceInfo w15:providerId="None" w15:userId="Corbin, Thoma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6"/>
  <w:drawingGridVerticalSpacing w:val="6"/>
  <w:displayHorizontalDrawingGridEvery w:val="0"/>
  <w:displayVerticalDrawingGridEvery w:val="0"/>
  <w:doNotUseMarginsForDrawingGridOrigin/>
  <w:drawingGridHorizontalOrigin w:val="0"/>
  <w:drawingGridVerticalOrigin w:val="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CTIVATED" w:val="1"/>
    <w:docVar w:name="cbTextLanguage_ListCount" w:val="0"/>
    <w:docVar w:name="cbTextLanguage_ListIndex" w:val="-1"/>
    <w:docVar w:name="CheckBox2" w:val="0"/>
    <w:docVar w:name="chkChangeCoverImage" w:val="0"/>
    <w:docVar w:name="chkDraft" w:val="-1"/>
    <w:docVar w:name="chkFileName" w:val="0"/>
    <w:docVar w:name="chkFileNamePath" w:val="0"/>
    <w:docVar w:name="chkIncludeClientInHedaer" w:val="0"/>
    <w:docVar w:name="chkIncludeClientonCover" w:val="0"/>
    <w:docVar w:name="chkOfficeAddressBackcover" w:val="0"/>
    <w:docVar w:name="chkPrintedOnRecycledPaper" w:val="0"/>
    <w:docVar w:name="chkSaveFooterDetails" w:val="0"/>
    <w:docVar w:name="chkSaveOfficeAddress" w:val="0"/>
    <w:docVar w:name="chkScholars" w:val="0"/>
    <w:docVar w:name="chkUKILongformLimitations" w:val="0"/>
    <w:docVar w:name="chkWhiteBorder" w:val="0"/>
    <w:docVar w:name="lbANZDisclaimers_ListCount" w:val="0"/>
    <w:docVar w:name="lbANZDisclaimers_ListIndex" w:val="-1"/>
    <w:docVar w:name="lbANZLimitations_ListCount" w:val="0"/>
    <w:docVar w:name="lbANZLimitations_ListIndex" w:val="-1"/>
    <w:docVar w:name="lbAuthor_ListCount" w:val="0"/>
    <w:docVar w:name="lbAuthor_ListIndex" w:val="-1"/>
    <w:docVar w:name="lbImages_ListCount" w:val="6"/>
    <w:docVar w:name="lbImages_ListIndex" w:val="0"/>
    <w:docVar w:name="lbProtectiveMarkings_0" w:val="None"/>
    <w:docVar w:name="lbProtectiveMarkings_0_0" w:val="None"/>
    <w:docVar w:name="lbProtectiveMarkings_1" w:val="PUBLIC"/>
    <w:docVar w:name="lbProtectiveMarkings_1_0" w:val="PUBLIC"/>
    <w:docVar w:name="lbProtectiveMarkings_2" w:val="OFFICIAL"/>
    <w:docVar w:name="lbProtectiveMarkings_2_0" w:val="OFFICIAL"/>
    <w:docVar w:name="lbProtectiveMarkings_3" w:val="COMPANY CONFIDENTIAL"/>
    <w:docVar w:name="lbProtectiveMarkings_3_0" w:val="COMPANY CONFIDENTIAL"/>
    <w:docVar w:name="lbProtectiveMarkings_4" w:val="COMMERCIAL IN CONFIDENCE"/>
    <w:docVar w:name="lbProtectiveMarkings_4_0" w:val="COMMERCIAL IN CONFIDENCE"/>
    <w:docVar w:name="lbProtectiveMarkings_5" w:val="DRAFT"/>
    <w:docVar w:name="lbProtectiveMarkings_5_0" w:val="DRAFT"/>
    <w:docVar w:name="lbProtectiveMarkings_6" w:val="Free-type ...  (use a comma to denote a new line)"/>
    <w:docVar w:name="lbProtectiveMarkings_6_0" w:val="Free-type ...  (use a comma to denote a new line)"/>
    <w:docVar w:name="lbProtectiveMarkings_ListCount" w:val="7"/>
    <w:docVar w:name="lbProtectiveMarkings_ListIndex" w:val="-1"/>
    <w:docVar w:name="opt1column" w:val="-1"/>
    <w:docVar w:name="opt2column" w:val="0"/>
    <w:docVar w:name="opt3column" w:val="0"/>
    <w:docVar w:name="optA3Landscape" w:val="0"/>
    <w:docVar w:name="optA4" w:val="-1"/>
    <w:docVar w:name="optA4Landscape" w:val="0"/>
    <w:docVar w:name="optA4Portrait" w:val="-1"/>
    <w:docVar w:name="optBW" w:val="0"/>
    <w:docVar w:name="optChangeFontAECOMSans" w:val="0"/>
    <w:docVar w:name="optChangeFontArial" w:val="-1"/>
    <w:docVar w:name="optCoversheet" w:val="0"/>
    <w:docVar w:name="optDoubleSided" w:val="0"/>
    <w:docVar w:name="optFont10" w:val="0"/>
    <w:docVar w:name="optFont11" w:val="0"/>
    <w:docVar w:name="optFont12" w:val="0"/>
    <w:docVar w:name="optFont9" w:val="-1"/>
    <w:docVar w:name="optGraphicFull" w:val="0"/>
    <w:docVar w:name="optHeading1Font18" w:val="0"/>
    <w:docVar w:name="optHeading1Font21" w:val="0"/>
    <w:docVar w:name="optHeading1Font24" w:val="-1"/>
    <w:docVar w:name="optLetter" w:val="0"/>
    <w:docVar w:name="optLogo" w:val="-1"/>
    <w:docVar w:name="optNoLogo" w:val="0"/>
    <w:docVar w:name="optNumberedHeadings" w:val="-1"/>
    <w:docVar w:name="optP0" w:val="0"/>
    <w:docVar w:name="optP1" w:val="-1"/>
    <w:docVar w:name="optP2" w:val="0"/>
    <w:docVar w:name="optP3" w:val="0"/>
    <w:docVar w:name="optP4" w:val="0"/>
    <w:docVar w:name="optP5" w:val="0"/>
    <w:docVar w:name="optP6" w:val="0"/>
    <w:docVar w:name="optPhotoFull" w:val="0"/>
    <w:docVar w:name="optPhotoGrahicHalf" w:val="-1"/>
    <w:docVar w:name="optPlainBlue" w:val="0"/>
    <w:docVar w:name="optS0" w:val="0"/>
    <w:docVar w:name="optS1" w:val="0"/>
    <w:docVar w:name="optS2" w:val="-1"/>
    <w:docVar w:name="optS3" w:val="0"/>
    <w:docVar w:name="optS4" w:val="0"/>
    <w:docVar w:name="optS5" w:val="0"/>
    <w:docVar w:name="optS6" w:val="0"/>
    <w:docVar w:name="optSingleSided" w:val="-1"/>
    <w:docVar w:name="optTechnicalReport" w:val="-1"/>
    <w:docVar w:name="optTenderProposal" w:val="0"/>
    <w:docVar w:name="optUnNumberedHeadings" w:val="0"/>
    <w:docVar w:name="optUSLetterLandscape" w:val="0"/>
    <w:docVar w:name="optUSLetterPortrait" w:val="0"/>
    <w:docVar w:name="RERUN" w:val="1"/>
    <w:docVar w:name="SelectedCountry" w:val="1"/>
    <w:docVar w:name="SelectedEntity" w:val="0"/>
    <w:docVar w:name="SelectedGeo" w:val="2"/>
    <w:docVar w:name="SelectedLanguage" w:val="0"/>
    <w:docVar w:name="SelectedOffice" w:val="33"/>
    <w:docVar w:name="SelectedPageLayout" w:val="3"/>
    <w:docVar w:name="SelectedRegion" w:val="4"/>
    <w:docVar w:name="tbDate" w:val="June 2017"/>
    <w:docVar w:name="tbDocumentTitle" w:val="HNA Template "/>
    <w:docVar w:name="tbFooterDetails" w:val="AECOM Limited registered in England &amp; Wales, company number 880328._x000d__x000a_AECOM House, 63-77 Victoria Street, St Albans, Hertfordshire, AL1 3ER"/>
    <w:docVar w:name="tbImage" w:val="Abstract Cable.jpg"/>
    <w:docVar w:name="tbOfficeAddress" w:val="AECOM Limited_x000d__x000a_Aldgate Tower_x000d__x000a_2 Leman Street_x000d__x000a_London_x000d__x000a_E1 8FA_x000d__x000a_aecom.com"/>
    <w:docVar w:name="TranslateChart" w:val="Chart"/>
    <w:docVar w:name="TranslateFigure" w:val="Figure"/>
    <w:docVar w:name="TranslateTable" w:val="Table"/>
  </w:docVars>
  <w:rsids>
    <w:rsidRoot w:val="005A1F44"/>
    <w:rsid w:val="0000407A"/>
    <w:rsid w:val="00004730"/>
    <w:rsid w:val="0000567F"/>
    <w:rsid w:val="00005796"/>
    <w:rsid w:val="0000621F"/>
    <w:rsid w:val="00007D12"/>
    <w:rsid w:val="00011B0A"/>
    <w:rsid w:val="00013912"/>
    <w:rsid w:val="000144E9"/>
    <w:rsid w:val="000163EB"/>
    <w:rsid w:val="00023F39"/>
    <w:rsid w:val="00024A9C"/>
    <w:rsid w:val="00026EC3"/>
    <w:rsid w:val="00027303"/>
    <w:rsid w:val="0003139A"/>
    <w:rsid w:val="0003173A"/>
    <w:rsid w:val="000349EF"/>
    <w:rsid w:val="0003500D"/>
    <w:rsid w:val="000364E3"/>
    <w:rsid w:val="000375DA"/>
    <w:rsid w:val="00041812"/>
    <w:rsid w:val="0004726B"/>
    <w:rsid w:val="00047FDB"/>
    <w:rsid w:val="00050057"/>
    <w:rsid w:val="0005363D"/>
    <w:rsid w:val="000537D2"/>
    <w:rsid w:val="00053F18"/>
    <w:rsid w:val="0005776B"/>
    <w:rsid w:val="0005782B"/>
    <w:rsid w:val="0006236D"/>
    <w:rsid w:val="000652F7"/>
    <w:rsid w:val="00065DBF"/>
    <w:rsid w:val="000663FA"/>
    <w:rsid w:val="00066A8B"/>
    <w:rsid w:val="00067457"/>
    <w:rsid w:val="0007787E"/>
    <w:rsid w:val="00082023"/>
    <w:rsid w:val="00083354"/>
    <w:rsid w:val="00084291"/>
    <w:rsid w:val="0009153B"/>
    <w:rsid w:val="000923AB"/>
    <w:rsid w:val="00092F8A"/>
    <w:rsid w:val="0009611E"/>
    <w:rsid w:val="000A14DC"/>
    <w:rsid w:val="000A1903"/>
    <w:rsid w:val="000A2D0C"/>
    <w:rsid w:val="000A5E31"/>
    <w:rsid w:val="000A6A13"/>
    <w:rsid w:val="000B28E6"/>
    <w:rsid w:val="000B6AE2"/>
    <w:rsid w:val="000B73C5"/>
    <w:rsid w:val="000B7AA3"/>
    <w:rsid w:val="000C0D5A"/>
    <w:rsid w:val="000C334B"/>
    <w:rsid w:val="000C3C1D"/>
    <w:rsid w:val="000C7B46"/>
    <w:rsid w:val="000D13AF"/>
    <w:rsid w:val="000D2F64"/>
    <w:rsid w:val="000D5A98"/>
    <w:rsid w:val="000E07AF"/>
    <w:rsid w:val="000E44D5"/>
    <w:rsid w:val="000E4587"/>
    <w:rsid w:val="000E7360"/>
    <w:rsid w:val="000F0027"/>
    <w:rsid w:val="000F22FF"/>
    <w:rsid w:val="000F2C08"/>
    <w:rsid w:val="000F5328"/>
    <w:rsid w:val="000F66C9"/>
    <w:rsid w:val="000F6FE4"/>
    <w:rsid w:val="00103597"/>
    <w:rsid w:val="00110478"/>
    <w:rsid w:val="00112827"/>
    <w:rsid w:val="00113319"/>
    <w:rsid w:val="00113736"/>
    <w:rsid w:val="00113896"/>
    <w:rsid w:val="001157B7"/>
    <w:rsid w:val="00115CA4"/>
    <w:rsid w:val="00116072"/>
    <w:rsid w:val="001169AC"/>
    <w:rsid w:val="0011737A"/>
    <w:rsid w:val="0012035C"/>
    <w:rsid w:val="0012093B"/>
    <w:rsid w:val="001244DC"/>
    <w:rsid w:val="0012697D"/>
    <w:rsid w:val="001269E7"/>
    <w:rsid w:val="00127AF4"/>
    <w:rsid w:val="001315BF"/>
    <w:rsid w:val="00132860"/>
    <w:rsid w:val="00133853"/>
    <w:rsid w:val="001343B0"/>
    <w:rsid w:val="00134992"/>
    <w:rsid w:val="00135D79"/>
    <w:rsid w:val="00136720"/>
    <w:rsid w:val="00136AA6"/>
    <w:rsid w:val="00136C29"/>
    <w:rsid w:val="00137944"/>
    <w:rsid w:val="001408A2"/>
    <w:rsid w:val="00142305"/>
    <w:rsid w:val="001430F2"/>
    <w:rsid w:val="00143D54"/>
    <w:rsid w:val="00144B71"/>
    <w:rsid w:val="001453AD"/>
    <w:rsid w:val="00145502"/>
    <w:rsid w:val="00145561"/>
    <w:rsid w:val="0014571E"/>
    <w:rsid w:val="00147691"/>
    <w:rsid w:val="00150472"/>
    <w:rsid w:val="00150531"/>
    <w:rsid w:val="001554A9"/>
    <w:rsid w:val="0016203A"/>
    <w:rsid w:val="00164CB2"/>
    <w:rsid w:val="0016605D"/>
    <w:rsid w:val="00166D71"/>
    <w:rsid w:val="00167804"/>
    <w:rsid w:val="0017116A"/>
    <w:rsid w:val="00173FB0"/>
    <w:rsid w:val="001750DB"/>
    <w:rsid w:val="00176845"/>
    <w:rsid w:val="00177077"/>
    <w:rsid w:val="00177C13"/>
    <w:rsid w:val="00177DEA"/>
    <w:rsid w:val="0018100D"/>
    <w:rsid w:val="0018305D"/>
    <w:rsid w:val="00186090"/>
    <w:rsid w:val="00186702"/>
    <w:rsid w:val="00190CDA"/>
    <w:rsid w:val="001920F8"/>
    <w:rsid w:val="00193189"/>
    <w:rsid w:val="001937F2"/>
    <w:rsid w:val="00193855"/>
    <w:rsid w:val="00196E20"/>
    <w:rsid w:val="001A11B6"/>
    <w:rsid w:val="001A1F61"/>
    <w:rsid w:val="001A2365"/>
    <w:rsid w:val="001A52C9"/>
    <w:rsid w:val="001A52DD"/>
    <w:rsid w:val="001B143D"/>
    <w:rsid w:val="001B1A5F"/>
    <w:rsid w:val="001C07AF"/>
    <w:rsid w:val="001C2925"/>
    <w:rsid w:val="001C2BC0"/>
    <w:rsid w:val="001C2FF7"/>
    <w:rsid w:val="001C3018"/>
    <w:rsid w:val="001C30A9"/>
    <w:rsid w:val="001C5F36"/>
    <w:rsid w:val="001C60EF"/>
    <w:rsid w:val="001C7D04"/>
    <w:rsid w:val="001D1299"/>
    <w:rsid w:val="001D150B"/>
    <w:rsid w:val="001D33BC"/>
    <w:rsid w:val="001D499A"/>
    <w:rsid w:val="001D6E40"/>
    <w:rsid w:val="001E1DB1"/>
    <w:rsid w:val="001E1DC1"/>
    <w:rsid w:val="001E774F"/>
    <w:rsid w:val="001F34A3"/>
    <w:rsid w:val="001F4214"/>
    <w:rsid w:val="001F5E46"/>
    <w:rsid w:val="001F62F6"/>
    <w:rsid w:val="002024D6"/>
    <w:rsid w:val="00203182"/>
    <w:rsid w:val="0020318D"/>
    <w:rsid w:val="00203A4A"/>
    <w:rsid w:val="00204146"/>
    <w:rsid w:val="00205F73"/>
    <w:rsid w:val="002075C9"/>
    <w:rsid w:val="00207657"/>
    <w:rsid w:val="00211BA5"/>
    <w:rsid w:val="002122AA"/>
    <w:rsid w:val="00212B9F"/>
    <w:rsid w:val="00213392"/>
    <w:rsid w:val="002134B0"/>
    <w:rsid w:val="00214171"/>
    <w:rsid w:val="002147C0"/>
    <w:rsid w:val="0021554C"/>
    <w:rsid w:val="002155BC"/>
    <w:rsid w:val="0021591F"/>
    <w:rsid w:val="00215A8B"/>
    <w:rsid w:val="00215FCC"/>
    <w:rsid w:val="00216F12"/>
    <w:rsid w:val="00217CCC"/>
    <w:rsid w:val="0022001F"/>
    <w:rsid w:val="002246BD"/>
    <w:rsid w:val="0022472C"/>
    <w:rsid w:val="00224E3C"/>
    <w:rsid w:val="00226811"/>
    <w:rsid w:val="00230A71"/>
    <w:rsid w:val="00232BBE"/>
    <w:rsid w:val="002340C7"/>
    <w:rsid w:val="002402D4"/>
    <w:rsid w:val="00241364"/>
    <w:rsid w:val="0024247B"/>
    <w:rsid w:val="002427BE"/>
    <w:rsid w:val="0024353A"/>
    <w:rsid w:val="00245043"/>
    <w:rsid w:val="00245426"/>
    <w:rsid w:val="00252C7F"/>
    <w:rsid w:val="00253171"/>
    <w:rsid w:val="00254EC8"/>
    <w:rsid w:val="00255355"/>
    <w:rsid w:val="00255D2D"/>
    <w:rsid w:val="002570E9"/>
    <w:rsid w:val="002603F2"/>
    <w:rsid w:val="002609AD"/>
    <w:rsid w:val="00260D50"/>
    <w:rsid w:val="0026325E"/>
    <w:rsid w:val="00263F55"/>
    <w:rsid w:val="00267154"/>
    <w:rsid w:val="00267AE5"/>
    <w:rsid w:val="00270E14"/>
    <w:rsid w:val="00271B5C"/>
    <w:rsid w:val="002740A7"/>
    <w:rsid w:val="002741BD"/>
    <w:rsid w:val="0027422F"/>
    <w:rsid w:val="002762F6"/>
    <w:rsid w:val="002770A0"/>
    <w:rsid w:val="00277FF1"/>
    <w:rsid w:val="0028000E"/>
    <w:rsid w:val="0028145A"/>
    <w:rsid w:val="00282747"/>
    <w:rsid w:val="00283697"/>
    <w:rsid w:val="0028437E"/>
    <w:rsid w:val="00284C82"/>
    <w:rsid w:val="0029198A"/>
    <w:rsid w:val="002923B7"/>
    <w:rsid w:val="00293C45"/>
    <w:rsid w:val="00296A7A"/>
    <w:rsid w:val="002A7CB9"/>
    <w:rsid w:val="002B1CCC"/>
    <w:rsid w:val="002B1D7D"/>
    <w:rsid w:val="002B27AA"/>
    <w:rsid w:val="002B2BD7"/>
    <w:rsid w:val="002B43D6"/>
    <w:rsid w:val="002B4677"/>
    <w:rsid w:val="002B5A8F"/>
    <w:rsid w:val="002C0C27"/>
    <w:rsid w:val="002C1EDB"/>
    <w:rsid w:val="002C2C4A"/>
    <w:rsid w:val="002C40AE"/>
    <w:rsid w:val="002C4B35"/>
    <w:rsid w:val="002C5D9F"/>
    <w:rsid w:val="002C646C"/>
    <w:rsid w:val="002C7295"/>
    <w:rsid w:val="002C77CB"/>
    <w:rsid w:val="002C78EC"/>
    <w:rsid w:val="002C7E48"/>
    <w:rsid w:val="002D0A70"/>
    <w:rsid w:val="002D1696"/>
    <w:rsid w:val="002D1969"/>
    <w:rsid w:val="002D1F63"/>
    <w:rsid w:val="002D336F"/>
    <w:rsid w:val="002D45C8"/>
    <w:rsid w:val="002D48CC"/>
    <w:rsid w:val="002D51B3"/>
    <w:rsid w:val="002E2115"/>
    <w:rsid w:val="002E6EF9"/>
    <w:rsid w:val="002E6F99"/>
    <w:rsid w:val="002E72EA"/>
    <w:rsid w:val="002F0796"/>
    <w:rsid w:val="002F0C6E"/>
    <w:rsid w:val="002F1F02"/>
    <w:rsid w:val="002F3B02"/>
    <w:rsid w:val="00301623"/>
    <w:rsid w:val="003016A0"/>
    <w:rsid w:val="00302A12"/>
    <w:rsid w:val="00306118"/>
    <w:rsid w:val="00311C82"/>
    <w:rsid w:val="00312994"/>
    <w:rsid w:val="00312E94"/>
    <w:rsid w:val="003130BF"/>
    <w:rsid w:val="00315C27"/>
    <w:rsid w:val="00316CE6"/>
    <w:rsid w:val="00321DD1"/>
    <w:rsid w:val="003227EC"/>
    <w:rsid w:val="00323122"/>
    <w:rsid w:val="00323654"/>
    <w:rsid w:val="00324B62"/>
    <w:rsid w:val="003269DA"/>
    <w:rsid w:val="00327242"/>
    <w:rsid w:val="00327DD0"/>
    <w:rsid w:val="00335C93"/>
    <w:rsid w:val="003405A1"/>
    <w:rsid w:val="00342A65"/>
    <w:rsid w:val="00342FC4"/>
    <w:rsid w:val="00343248"/>
    <w:rsid w:val="00344A00"/>
    <w:rsid w:val="00347538"/>
    <w:rsid w:val="00352A85"/>
    <w:rsid w:val="00354241"/>
    <w:rsid w:val="003572C3"/>
    <w:rsid w:val="003636AD"/>
    <w:rsid w:val="00364FD7"/>
    <w:rsid w:val="003723EF"/>
    <w:rsid w:val="003732CF"/>
    <w:rsid w:val="003742A0"/>
    <w:rsid w:val="003760C4"/>
    <w:rsid w:val="0037743B"/>
    <w:rsid w:val="0037784E"/>
    <w:rsid w:val="00381A26"/>
    <w:rsid w:val="00382551"/>
    <w:rsid w:val="00382CB9"/>
    <w:rsid w:val="00383735"/>
    <w:rsid w:val="00385CC2"/>
    <w:rsid w:val="0038796B"/>
    <w:rsid w:val="00387B7C"/>
    <w:rsid w:val="00387DEF"/>
    <w:rsid w:val="003934D8"/>
    <w:rsid w:val="003964F2"/>
    <w:rsid w:val="00397421"/>
    <w:rsid w:val="003978FB"/>
    <w:rsid w:val="003A0168"/>
    <w:rsid w:val="003A2EED"/>
    <w:rsid w:val="003A3279"/>
    <w:rsid w:val="003A7385"/>
    <w:rsid w:val="003A79BB"/>
    <w:rsid w:val="003B18BF"/>
    <w:rsid w:val="003B219E"/>
    <w:rsid w:val="003B31A5"/>
    <w:rsid w:val="003B36BF"/>
    <w:rsid w:val="003B3A0E"/>
    <w:rsid w:val="003B6C9A"/>
    <w:rsid w:val="003C10A6"/>
    <w:rsid w:val="003C11A1"/>
    <w:rsid w:val="003C29AA"/>
    <w:rsid w:val="003C43E3"/>
    <w:rsid w:val="003C73C8"/>
    <w:rsid w:val="003C77CD"/>
    <w:rsid w:val="003D08F2"/>
    <w:rsid w:val="003D1681"/>
    <w:rsid w:val="003D18C8"/>
    <w:rsid w:val="003D2760"/>
    <w:rsid w:val="003D2814"/>
    <w:rsid w:val="003E04ED"/>
    <w:rsid w:val="003E0B7C"/>
    <w:rsid w:val="003E1070"/>
    <w:rsid w:val="003E2A26"/>
    <w:rsid w:val="003E3DFD"/>
    <w:rsid w:val="003E4FE3"/>
    <w:rsid w:val="003F4CB8"/>
    <w:rsid w:val="003F6F7E"/>
    <w:rsid w:val="003F7459"/>
    <w:rsid w:val="003F7EA0"/>
    <w:rsid w:val="004006F8"/>
    <w:rsid w:val="00400934"/>
    <w:rsid w:val="00400AFF"/>
    <w:rsid w:val="00402B82"/>
    <w:rsid w:val="0040621C"/>
    <w:rsid w:val="00407772"/>
    <w:rsid w:val="0041372D"/>
    <w:rsid w:val="00413BDE"/>
    <w:rsid w:val="00415158"/>
    <w:rsid w:val="00415998"/>
    <w:rsid w:val="00416050"/>
    <w:rsid w:val="0041646A"/>
    <w:rsid w:val="00417649"/>
    <w:rsid w:val="004217B6"/>
    <w:rsid w:val="004231F6"/>
    <w:rsid w:val="004264F1"/>
    <w:rsid w:val="004269A1"/>
    <w:rsid w:val="00426E52"/>
    <w:rsid w:val="00427701"/>
    <w:rsid w:val="004277B5"/>
    <w:rsid w:val="00430718"/>
    <w:rsid w:val="004332A1"/>
    <w:rsid w:val="00433CF8"/>
    <w:rsid w:val="004353E6"/>
    <w:rsid w:val="00435665"/>
    <w:rsid w:val="0043568A"/>
    <w:rsid w:val="00435EAC"/>
    <w:rsid w:val="00437546"/>
    <w:rsid w:val="00440F0C"/>
    <w:rsid w:val="0044100E"/>
    <w:rsid w:val="004444AD"/>
    <w:rsid w:val="004444B4"/>
    <w:rsid w:val="004460FF"/>
    <w:rsid w:val="0045162F"/>
    <w:rsid w:val="0045450D"/>
    <w:rsid w:val="00456A47"/>
    <w:rsid w:val="00460F70"/>
    <w:rsid w:val="00461235"/>
    <w:rsid w:val="004641BD"/>
    <w:rsid w:val="00467014"/>
    <w:rsid w:val="00472275"/>
    <w:rsid w:val="00473BA7"/>
    <w:rsid w:val="0047442C"/>
    <w:rsid w:val="00475C76"/>
    <w:rsid w:val="004775A3"/>
    <w:rsid w:val="0048053F"/>
    <w:rsid w:val="00480F13"/>
    <w:rsid w:val="00481A96"/>
    <w:rsid w:val="00481B5F"/>
    <w:rsid w:val="004864E1"/>
    <w:rsid w:val="00486D5A"/>
    <w:rsid w:val="0048755A"/>
    <w:rsid w:val="00487DA9"/>
    <w:rsid w:val="00490643"/>
    <w:rsid w:val="004908C7"/>
    <w:rsid w:val="004919DB"/>
    <w:rsid w:val="00491D33"/>
    <w:rsid w:val="00493CF1"/>
    <w:rsid w:val="00493F74"/>
    <w:rsid w:val="00495508"/>
    <w:rsid w:val="004A019D"/>
    <w:rsid w:val="004A7221"/>
    <w:rsid w:val="004B4774"/>
    <w:rsid w:val="004C255D"/>
    <w:rsid w:val="004C4813"/>
    <w:rsid w:val="004C4865"/>
    <w:rsid w:val="004D0AF2"/>
    <w:rsid w:val="004D1548"/>
    <w:rsid w:val="004D4675"/>
    <w:rsid w:val="004D4A35"/>
    <w:rsid w:val="004D5792"/>
    <w:rsid w:val="004D6078"/>
    <w:rsid w:val="004D65DF"/>
    <w:rsid w:val="004D69B8"/>
    <w:rsid w:val="004D7826"/>
    <w:rsid w:val="004E059A"/>
    <w:rsid w:val="004E1B08"/>
    <w:rsid w:val="004E43B0"/>
    <w:rsid w:val="004E4AA9"/>
    <w:rsid w:val="004E7534"/>
    <w:rsid w:val="004F2A79"/>
    <w:rsid w:val="004F6E2F"/>
    <w:rsid w:val="00503E92"/>
    <w:rsid w:val="00505488"/>
    <w:rsid w:val="005056EB"/>
    <w:rsid w:val="0050790B"/>
    <w:rsid w:val="00507C4F"/>
    <w:rsid w:val="00511F94"/>
    <w:rsid w:val="00512A4E"/>
    <w:rsid w:val="00512B79"/>
    <w:rsid w:val="005133E5"/>
    <w:rsid w:val="005137B7"/>
    <w:rsid w:val="00513D60"/>
    <w:rsid w:val="00516141"/>
    <w:rsid w:val="0051787A"/>
    <w:rsid w:val="00517F7D"/>
    <w:rsid w:val="005203DD"/>
    <w:rsid w:val="00520AC0"/>
    <w:rsid w:val="00521201"/>
    <w:rsid w:val="0052332B"/>
    <w:rsid w:val="005301D2"/>
    <w:rsid w:val="005354C0"/>
    <w:rsid w:val="00535B8B"/>
    <w:rsid w:val="005374F5"/>
    <w:rsid w:val="00537728"/>
    <w:rsid w:val="005377BA"/>
    <w:rsid w:val="00542152"/>
    <w:rsid w:val="00542F08"/>
    <w:rsid w:val="0054315A"/>
    <w:rsid w:val="0054343F"/>
    <w:rsid w:val="0054374D"/>
    <w:rsid w:val="005453AF"/>
    <w:rsid w:val="0054689D"/>
    <w:rsid w:val="00547C9E"/>
    <w:rsid w:val="0055004B"/>
    <w:rsid w:val="00550A23"/>
    <w:rsid w:val="00550FEA"/>
    <w:rsid w:val="005522BE"/>
    <w:rsid w:val="005522CA"/>
    <w:rsid w:val="00555AFC"/>
    <w:rsid w:val="0055609F"/>
    <w:rsid w:val="00556737"/>
    <w:rsid w:val="00556EBF"/>
    <w:rsid w:val="00560DBB"/>
    <w:rsid w:val="0056313A"/>
    <w:rsid w:val="00566B7C"/>
    <w:rsid w:val="005737F7"/>
    <w:rsid w:val="005750DE"/>
    <w:rsid w:val="005756F4"/>
    <w:rsid w:val="00580F71"/>
    <w:rsid w:val="00582989"/>
    <w:rsid w:val="00591B3F"/>
    <w:rsid w:val="00593748"/>
    <w:rsid w:val="005964DE"/>
    <w:rsid w:val="005A0AF1"/>
    <w:rsid w:val="005A0EAB"/>
    <w:rsid w:val="005A19DC"/>
    <w:rsid w:val="005A1F44"/>
    <w:rsid w:val="005A6A0E"/>
    <w:rsid w:val="005B0062"/>
    <w:rsid w:val="005B11AA"/>
    <w:rsid w:val="005B321B"/>
    <w:rsid w:val="005B3E9A"/>
    <w:rsid w:val="005B4302"/>
    <w:rsid w:val="005B4D40"/>
    <w:rsid w:val="005B7813"/>
    <w:rsid w:val="005C077A"/>
    <w:rsid w:val="005C0C51"/>
    <w:rsid w:val="005C0E4D"/>
    <w:rsid w:val="005C1E4A"/>
    <w:rsid w:val="005C4C2B"/>
    <w:rsid w:val="005C4D58"/>
    <w:rsid w:val="005C52EF"/>
    <w:rsid w:val="005C569E"/>
    <w:rsid w:val="005C5D9E"/>
    <w:rsid w:val="005C6C35"/>
    <w:rsid w:val="005D098B"/>
    <w:rsid w:val="005D0D76"/>
    <w:rsid w:val="005D15E5"/>
    <w:rsid w:val="005D1D67"/>
    <w:rsid w:val="005D2840"/>
    <w:rsid w:val="005D5033"/>
    <w:rsid w:val="005D64F6"/>
    <w:rsid w:val="005E07F5"/>
    <w:rsid w:val="005E1673"/>
    <w:rsid w:val="005E391C"/>
    <w:rsid w:val="005E4697"/>
    <w:rsid w:val="005E690E"/>
    <w:rsid w:val="005F476A"/>
    <w:rsid w:val="005F5CF8"/>
    <w:rsid w:val="005F7AB9"/>
    <w:rsid w:val="006008DE"/>
    <w:rsid w:val="00601502"/>
    <w:rsid w:val="0060626A"/>
    <w:rsid w:val="00606621"/>
    <w:rsid w:val="0060740D"/>
    <w:rsid w:val="006120CE"/>
    <w:rsid w:val="00616244"/>
    <w:rsid w:val="00616C1B"/>
    <w:rsid w:val="00623832"/>
    <w:rsid w:val="00623E11"/>
    <w:rsid w:val="00624CAA"/>
    <w:rsid w:val="00625A5A"/>
    <w:rsid w:val="00630DFC"/>
    <w:rsid w:val="006347B1"/>
    <w:rsid w:val="006354D9"/>
    <w:rsid w:val="006359D6"/>
    <w:rsid w:val="00635A5A"/>
    <w:rsid w:val="00643BA6"/>
    <w:rsid w:val="00643F22"/>
    <w:rsid w:val="00644DB9"/>
    <w:rsid w:val="00646A8B"/>
    <w:rsid w:val="00653608"/>
    <w:rsid w:val="00654232"/>
    <w:rsid w:val="00655083"/>
    <w:rsid w:val="0065674E"/>
    <w:rsid w:val="006620BC"/>
    <w:rsid w:val="00663636"/>
    <w:rsid w:val="00670A38"/>
    <w:rsid w:val="006713D2"/>
    <w:rsid w:val="00673A12"/>
    <w:rsid w:val="00674190"/>
    <w:rsid w:val="006760E5"/>
    <w:rsid w:val="00676FE6"/>
    <w:rsid w:val="00684BAC"/>
    <w:rsid w:val="00687AC1"/>
    <w:rsid w:val="006913C2"/>
    <w:rsid w:val="00692282"/>
    <w:rsid w:val="006973E7"/>
    <w:rsid w:val="006A1681"/>
    <w:rsid w:val="006A3705"/>
    <w:rsid w:val="006A73C0"/>
    <w:rsid w:val="006B0261"/>
    <w:rsid w:val="006B3705"/>
    <w:rsid w:val="006B4663"/>
    <w:rsid w:val="006B4F45"/>
    <w:rsid w:val="006B6036"/>
    <w:rsid w:val="006B6AAC"/>
    <w:rsid w:val="006C05E0"/>
    <w:rsid w:val="006C291A"/>
    <w:rsid w:val="006C2F0A"/>
    <w:rsid w:val="006C3AE4"/>
    <w:rsid w:val="006C4218"/>
    <w:rsid w:val="006C4F04"/>
    <w:rsid w:val="006C72A2"/>
    <w:rsid w:val="006C78A3"/>
    <w:rsid w:val="006D0366"/>
    <w:rsid w:val="006D0802"/>
    <w:rsid w:val="006D2CD1"/>
    <w:rsid w:val="006D30FE"/>
    <w:rsid w:val="006D3975"/>
    <w:rsid w:val="006E10C1"/>
    <w:rsid w:val="006E1140"/>
    <w:rsid w:val="006E1490"/>
    <w:rsid w:val="006E3705"/>
    <w:rsid w:val="006E4F1E"/>
    <w:rsid w:val="006F1862"/>
    <w:rsid w:val="006F18A0"/>
    <w:rsid w:val="006F461B"/>
    <w:rsid w:val="006F5B88"/>
    <w:rsid w:val="007001C0"/>
    <w:rsid w:val="007024FC"/>
    <w:rsid w:val="00703825"/>
    <w:rsid w:val="00704CF8"/>
    <w:rsid w:val="00707379"/>
    <w:rsid w:val="00710D4B"/>
    <w:rsid w:val="00713EA5"/>
    <w:rsid w:val="007178E6"/>
    <w:rsid w:val="007234EF"/>
    <w:rsid w:val="00723A16"/>
    <w:rsid w:val="00724066"/>
    <w:rsid w:val="0072559F"/>
    <w:rsid w:val="00725883"/>
    <w:rsid w:val="00727C03"/>
    <w:rsid w:val="00730EC3"/>
    <w:rsid w:val="00732650"/>
    <w:rsid w:val="0073415E"/>
    <w:rsid w:val="0073521B"/>
    <w:rsid w:val="007422B0"/>
    <w:rsid w:val="0074241F"/>
    <w:rsid w:val="00750AD2"/>
    <w:rsid w:val="00752BBC"/>
    <w:rsid w:val="007545F9"/>
    <w:rsid w:val="00754A06"/>
    <w:rsid w:val="007570F6"/>
    <w:rsid w:val="00757D02"/>
    <w:rsid w:val="007630BE"/>
    <w:rsid w:val="007710AF"/>
    <w:rsid w:val="00772011"/>
    <w:rsid w:val="007743C5"/>
    <w:rsid w:val="00775B25"/>
    <w:rsid w:val="00776618"/>
    <w:rsid w:val="007769E5"/>
    <w:rsid w:val="00780341"/>
    <w:rsid w:val="0078040F"/>
    <w:rsid w:val="00781E9F"/>
    <w:rsid w:val="00783B29"/>
    <w:rsid w:val="00785A24"/>
    <w:rsid w:val="00785E66"/>
    <w:rsid w:val="00790710"/>
    <w:rsid w:val="007924E6"/>
    <w:rsid w:val="00792AAF"/>
    <w:rsid w:val="007935AD"/>
    <w:rsid w:val="007939B0"/>
    <w:rsid w:val="007A6D86"/>
    <w:rsid w:val="007A7602"/>
    <w:rsid w:val="007B0678"/>
    <w:rsid w:val="007B276B"/>
    <w:rsid w:val="007B302E"/>
    <w:rsid w:val="007B3656"/>
    <w:rsid w:val="007B3872"/>
    <w:rsid w:val="007B4DC1"/>
    <w:rsid w:val="007C0094"/>
    <w:rsid w:val="007C09EC"/>
    <w:rsid w:val="007C5A0A"/>
    <w:rsid w:val="007C6447"/>
    <w:rsid w:val="007D0C11"/>
    <w:rsid w:val="007D1B8B"/>
    <w:rsid w:val="007D3CAA"/>
    <w:rsid w:val="007D5C05"/>
    <w:rsid w:val="007D60D8"/>
    <w:rsid w:val="007E0740"/>
    <w:rsid w:val="007E0F3D"/>
    <w:rsid w:val="007E35FB"/>
    <w:rsid w:val="007E4C95"/>
    <w:rsid w:val="007E7FF2"/>
    <w:rsid w:val="007F3444"/>
    <w:rsid w:val="007F38AC"/>
    <w:rsid w:val="007F4887"/>
    <w:rsid w:val="007F6341"/>
    <w:rsid w:val="007F73C2"/>
    <w:rsid w:val="007F76CD"/>
    <w:rsid w:val="0080040C"/>
    <w:rsid w:val="00800A95"/>
    <w:rsid w:val="00801711"/>
    <w:rsid w:val="0080324C"/>
    <w:rsid w:val="00803F1F"/>
    <w:rsid w:val="00805278"/>
    <w:rsid w:val="00807A04"/>
    <w:rsid w:val="0081688E"/>
    <w:rsid w:val="00816DC6"/>
    <w:rsid w:val="0082079A"/>
    <w:rsid w:val="00822364"/>
    <w:rsid w:val="00824D22"/>
    <w:rsid w:val="00825B27"/>
    <w:rsid w:val="00831688"/>
    <w:rsid w:val="00832040"/>
    <w:rsid w:val="00833B66"/>
    <w:rsid w:val="00834477"/>
    <w:rsid w:val="00834D33"/>
    <w:rsid w:val="00836EDB"/>
    <w:rsid w:val="008518E3"/>
    <w:rsid w:val="00854622"/>
    <w:rsid w:val="00854828"/>
    <w:rsid w:val="00855B3A"/>
    <w:rsid w:val="00860785"/>
    <w:rsid w:val="00864229"/>
    <w:rsid w:val="0086481E"/>
    <w:rsid w:val="00865E1B"/>
    <w:rsid w:val="0086608E"/>
    <w:rsid w:val="00866E69"/>
    <w:rsid w:val="0087026F"/>
    <w:rsid w:val="008723CB"/>
    <w:rsid w:val="008734F7"/>
    <w:rsid w:val="008741BE"/>
    <w:rsid w:val="008762FC"/>
    <w:rsid w:val="00877AF3"/>
    <w:rsid w:val="00881F7C"/>
    <w:rsid w:val="00882818"/>
    <w:rsid w:val="0088323B"/>
    <w:rsid w:val="00885248"/>
    <w:rsid w:val="00886498"/>
    <w:rsid w:val="0088653B"/>
    <w:rsid w:val="00887C76"/>
    <w:rsid w:val="00890ADA"/>
    <w:rsid w:val="00892B17"/>
    <w:rsid w:val="008930A0"/>
    <w:rsid w:val="0089505B"/>
    <w:rsid w:val="008952D6"/>
    <w:rsid w:val="00895BEE"/>
    <w:rsid w:val="00896362"/>
    <w:rsid w:val="00896800"/>
    <w:rsid w:val="008A0558"/>
    <w:rsid w:val="008A19FD"/>
    <w:rsid w:val="008B1E50"/>
    <w:rsid w:val="008B3000"/>
    <w:rsid w:val="008B395D"/>
    <w:rsid w:val="008B4042"/>
    <w:rsid w:val="008B4844"/>
    <w:rsid w:val="008B5F5A"/>
    <w:rsid w:val="008C15F4"/>
    <w:rsid w:val="008C2E13"/>
    <w:rsid w:val="008C3E42"/>
    <w:rsid w:val="008C40FA"/>
    <w:rsid w:val="008D088A"/>
    <w:rsid w:val="008D11A6"/>
    <w:rsid w:val="008D1D1E"/>
    <w:rsid w:val="008D2376"/>
    <w:rsid w:val="008D3556"/>
    <w:rsid w:val="008D4CA8"/>
    <w:rsid w:val="008D58F1"/>
    <w:rsid w:val="008E0C55"/>
    <w:rsid w:val="008E1AE1"/>
    <w:rsid w:val="008E39F1"/>
    <w:rsid w:val="008E3F69"/>
    <w:rsid w:val="008F157F"/>
    <w:rsid w:val="008F1C1B"/>
    <w:rsid w:val="008F3BE0"/>
    <w:rsid w:val="008F57D4"/>
    <w:rsid w:val="008F6C82"/>
    <w:rsid w:val="00900D2C"/>
    <w:rsid w:val="0090225F"/>
    <w:rsid w:val="009022EC"/>
    <w:rsid w:val="009039B7"/>
    <w:rsid w:val="00904014"/>
    <w:rsid w:val="009052D1"/>
    <w:rsid w:val="00907041"/>
    <w:rsid w:val="0090796B"/>
    <w:rsid w:val="0091063E"/>
    <w:rsid w:val="009136D1"/>
    <w:rsid w:val="009136EC"/>
    <w:rsid w:val="009144D7"/>
    <w:rsid w:val="009149D7"/>
    <w:rsid w:val="009158DD"/>
    <w:rsid w:val="00915BE3"/>
    <w:rsid w:val="0091681B"/>
    <w:rsid w:val="00921510"/>
    <w:rsid w:val="00922B38"/>
    <w:rsid w:val="00923CA3"/>
    <w:rsid w:val="0093218C"/>
    <w:rsid w:val="00935FEE"/>
    <w:rsid w:val="00940615"/>
    <w:rsid w:val="00943105"/>
    <w:rsid w:val="00943340"/>
    <w:rsid w:val="00943E06"/>
    <w:rsid w:val="009508E5"/>
    <w:rsid w:val="00950AE6"/>
    <w:rsid w:val="00956640"/>
    <w:rsid w:val="00957FA7"/>
    <w:rsid w:val="009625C5"/>
    <w:rsid w:val="00962654"/>
    <w:rsid w:val="00963B2B"/>
    <w:rsid w:val="00966304"/>
    <w:rsid w:val="00970171"/>
    <w:rsid w:val="00972B49"/>
    <w:rsid w:val="00973916"/>
    <w:rsid w:val="0097459C"/>
    <w:rsid w:val="00974FF4"/>
    <w:rsid w:val="009758C4"/>
    <w:rsid w:val="00977BA8"/>
    <w:rsid w:val="00980537"/>
    <w:rsid w:val="0098103A"/>
    <w:rsid w:val="00982783"/>
    <w:rsid w:val="009828DC"/>
    <w:rsid w:val="00984672"/>
    <w:rsid w:val="0098549D"/>
    <w:rsid w:val="00986F6B"/>
    <w:rsid w:val="009925FE"/>
    <w:rsid w:val="00993F2D"/>
    <w:rsid w:val="00997BF8"/>
    <w:rsid w:val="009A2B87"/>
    <w:rsid w:val="009A5A02"/>
    <w:rsid w:val="009A6EC1"/>
    <w:rsid w:val="009B0939"/>
    <w:rsid w:val="009B109B"/>
    <w:rsid w:val="009B5A79"/>
    <w:rsid w:val="009B7EEB"/>
    <w:rsid w:val="009C113E"/>
    <w:rsid w:val="009C7E35"/>
    <w:rsid w:val="009D1BD2"/>
    <w:rsid w:val="009D29D4"/>
    <w:rsid w:val="009D703D"/>
    <w:rsid w:val="009E27B7"/>
    <w:rsid w:val="009E3C08"/>
    <w:rsid w:val="009E57C9"/>
    <w:rsid w:val="009E6194"/>
    <w:rsid w:val="009E66A1"/>
    <w:rsid w:val="009E6ED7"/>
    <w:rsid w:val="009E6FE0"/>
    <w:rsid w:val="009F0463"/>
    <w:rsid w:val="009F0E63"/>
    <w:rsid w:val="009F29EA"/>
    <w:rsid w:val="009F367B"/>
    <w:rsid w:val="009F5A8F"/>
    <w:rsid w:val="009F67A4"/>
    <w:rsid w:val="009F6B65"/>
    <w:rsid w:val="00A0089E"/>
    <w:rsid w:val="00A04433"/>
    <w:rsid w:val="00A0637A"/>
    <w:rsid w:val="00A10B0D"/>
    <w:rsid w:val="00A117E1"/>
    <w:rsid w:val="00A147CD"/>
    <w:rsid w:val="00A21788"/>
    <w:rsid w:val="00A24314"/>
    <w:rsid w:val="00A258B5"/>
    <w:rsid w:val="00A25E16"/>
    <w:rsid w:val="00A26FC4"/>
    <w:rsid w:val="00A3005D"/>
    <w:rsid w:val="00A302A7"/>
    <w:rsid w:val="00A32CCF"/>
    <w:rsid w:val="00A339A2"/>
    <w:rsid w:val="00A34EE8"/>
    <w:rsid w:val="00A375D1"/>
    <w:rsid w:val="00A42E72"/>
    <w:rsid w:val="00A51050"/>
    <w:rsid w:val="00A52EC1"/>
    <w:rsid w:val="00A5446A"/>
    <w:rsid w:val="00A556A4"/>
    <w:rsid w:val="00A5663A"/>
    <w:rsid w:val="00A5722F"/>
    <w:rsid w:val="00A608EB"/>
    <w:rsid w:val="00A609EC"/>
    <w:rsid w:val="00A62422"/>
    <w:rsid w:val="00A62AE5"/>
    <w:rsid w:val="00A62C6B"/>
    <w:rsid w:val="00A7065F"/>
    <w:rsid w:val="00A712FC"/>
    <w:rsid w:val="00A713D9"/>
    <w:rsid w:val="00A74F9C"/>
    <w:rsid w:val="00A75124"/>
    <w:rsid w:val="00A77BD6"/>
    <w:rsid w:val="00A816DD"/>
    <w:rsid w:val="00A82573"/>
    <w:rsid w:val="00A8285B"/>
    <w:rsid w:val="00A83941"/>
    <w:rsid w:val="00A867E2"/>
    <w:rsid w:val="00A87D6A"/>
    <w:rsid w:val="00A908A7"/>
    <w:rsid w:val="00A9157F"/>
    <w:rsid w:val="00A957C4"/>
    <w:rsid w:val="00A96DD4"/>
    <w:rsid w:val="00AA045B"/>
    <w:rsid w:val="00AA1F91"/>
    <w:rsid w:val="00AA2485"/>
    <w:rsid w:val="00AA3280"/>
    <w:rsid w:val="00AA338C"/>
    <w:rsid w:val="00AA5933"/>
    <w:rsid w:val="00AA5F1C"/>
    <w:rsid w:val="00AA75D4"/>
    <w:rsid w:val="00AB0589"/>
    <w:rsid w:val="00AB1CBE"/>
    <w:rsid w:val="00AB7A47"/>
    <w:rsid w:val="00AC1908"/>
    <w:rsid w:val="00AC56A0"/>
    <w:rsid w:val="00AD2129"/>
    <w:rsid w:val="00AD2672"/>
    <w:rsid w:val="00AD5134"/>
    <w:rsid w:val="00AE1B0C"/>
    <w:rsid w:val="00AE41A5"/>
    <w:rsid w:val="00AE50D5"/>
    <w:rsid w:val="00AE7552"/>
    <w:rsid w:val="00AF2E4A"/>
    <w:rsid w:val="00AF5095"/>
    <w:rsid w:val="00AF5FA3"/>
    <w:rsid w:val="00B038BC"/>
    <w:rsid w:val="00B11AB0"/>
    <w:rsid w:val="00B12D51"/>
    <w:rsid w:val="00B1665D"/>
    <w:rsid w:val="00B16CDC"/>
    <w:rsid w:val="00B171FE"/>
    <w:rsid w:val="00B20E71"/>
    <w:rsid w:val="00B22098"/>
    <w:rsid w:val="00B226BD"/>
    <w:rsid w:val="00B25544"/>
    <w:rsid w:val="00B267C3"/>
    <w:rsid w:val="00B3089F"/>
    <w:rsid w:val="00B31298"/>
    <w:rsid w:val="00B33CB5"/>
    <w:rsid w:val="00B33D1F"/>
    <w:rsid w:val="00B358C3"/>
    <w:rsid w:val="00B372A8"/>
    <w:rsid w:val="00B4024C"/>
    <w:rsid w:val="00B425D0"/>
    <w:rsid w:val="00B42E2A"/>
    <w:rsid w:val="00B504E7"/>
    <w:rsid w:val="00B50BCE"/>
    <w:rsid w:val="00B510F4"/>
    <w:rsid w:val="00B55307"/>
    <w:rsid w:val="00B603C6"/>
    <w:rsid w:val="00B606ED"/>
    <w:rsid w:val="00B64350"/>
    <w:rsid w:val="00B6642F"/>
    <w:rsid w:val="00B66D08"/>
    <w:rsid w:val="00B67629"/>
    <w:rsid w:val="00B70189"/>
    <w:rsid w:val="00B744FB"/>
    <w:rsid w:val="00B755E6"/>
    <w:rsid w:val="00B77413"/>
    <w:rsid w:val="00B803A0"/>
    <w:rsid w:val="00B81557"/>
    <w:rsid w:val="00B8189D"/>
    <w:rsid w:val="00B82280"/>
    <w:rsid w:val="00B83660"/>
    <w:rsid w:val="00B875BC"/>
    <w:rsid w:val="00B8778A"/>
    <w:rsid w:val="00B87C81"/>
    <w:rsid w:val="00B90324"/>
    <w:rsid w:val="00B90B1C"/>
    <w:rsid w:val="00B916BB"/>
    <w:rsid w:val="00B918A8"/>
    <w:rsid w:val="00B92463"/>
    <w:rsid w:val="00B92EE1"/>
    <w:rsid w:val="00B97816"/>
    <w:rsid w:val="00BA05BE"/>
    <w:rsid w:val="00BA15B9"/>
    <w:rsid w:val="00BA1A6E"/>
    <w:rsid w:val="00BA1D3D"/>
    <w:rsid w:val="00BA2DA7"/>
    <w:rsid w:val="00BA3D61"/>
    <w:rsid w:val="00BA4724"/>
    <w:rsid w:val="00BA5047"/>
    <w:rsid w:val="00BA631B"/>
    <w:rsid w:val="00BB2780"/>
    <w:rsid w:val="00BB3FC6"/>
    <w:rsid w:val="00BB422B"/>
    <w:rsid w:val="00BB589D"/>
    <w:rsid w:val="00BB6891"/>
    <w:rsid w:val="00BC30F0"/>
    <w:rsid w:val="00BC47D1"/>
    <w:rsid w:val="00BD17DF"/>
    <w:rsid w:val="00BE0DA4"/>
    <w:rsid w:val="00BE0DAB"/>
    <w:rsid w:val="00BE12EC"/>
    <w:rsid w:val="00BE32D0"/>
    <w:rsid w:val="00BE391D"/>
    <w:rsid w:val="00BE3C6A"/>
    <w:rsid w:val="00BE6E33"/>
    <w:rsid w:val="00BE70AC"/>
    <w:rsid w:val="00BF02AC"/>
    <w:rsid w:val="00BF22EF"/>
    <w:rsid w:val="00BF3319"/>
    <w:rsid w:val="00BF3396"/>
    <w:rsid w:val="00BF47E0"/>
    <w:rsid w:val="00BF53A6"/>
    <w:rsid w:val="00BF757D"/>
    <w:rsid w:val="00BF7F90"/>
    <w:rsid w:val="00C00DC7"/>
    <w:rsid w:val="00C03C5B"/>
    <w:rsid w:val="00C05442"/>
    <w:rsid w:val="00C0556F"/>
    <w:rsid w:val="00C05644"/>
    <w:rsid w:val="00C0690C"/>
    <w:rsid w:val="00C079F0"/>
    <w:rsid w:val="00C136F8"/>
    <w:rsid w:val="00C16620"/>
    <w:rsid w:val="00C16B7C"/>
    <w:rsid w:val="00C178BC"/>
    <w:rsid w:val="00C21130"/>
    <w:rsid w:val="00C2143D"/>
    <w:rsid w:val="00C215B9"/>
    <w:rsid w:val="00C22531"/>
    <w:rsid w:val="00C2364D"/>
    <w:rsid w:val="00C23BF5"/>
    <w:rsid w:val="00C247FF"/>
    <w:rsid w:val="00C25EF3"/>
    <w:rsid w:val="00C26717"/>
    <w:rsid w:val="00C27D3B"/>
    <w:rsid w:val="00C30280"/>
    <w:rsid w:val="00C307F2"/>
    <w:rsid w:val="00C30F49"/>
    <w:rsid w:val="00C314D3"/>
    <w:rsid w:val="00C32039"/>
    <w:rsid w:val="00C34D9C"/>
    <w:rsid w:val="00C351C5"/>
    <w:rsid w:val="00C35973"/>
    <w:rsid w:val="00C361B0"/>
    <w:rsid w:val="00C3674D"/>
    <w:rsid w:val="00C369F3"/>
    <w:rsid w:val="00C405F8"/>
    <w:rsid w:val="00C40B38"/>
    <w:rsid w:val="00C44447"/>
    <w:rsid w:val="00C45CE3"/>
    <w:rsid w:val="00C462FD"/>
    <w:rsid w:val="00C46380"/>
    <w:rsid w:val="00C527E7"/>
    <w:rsid w:val="00C543C6"/>
    <w:rsid w:val="00C54D47"/>
    <w:rsid w:val="00C554DF"/>
    <w:rsid w:val="00C55AF9"/>
    <w:rsid w:val="00C57544"/>
    <w:rsid w:val="00C62419"/>
    <w:rsid w:val="00C63396"/>
    <w:rsid w:val="00C6742A"/>
    <w:rsid w:val="00C70BFE"/>
    <w:rsid w:val="00C7110F"/>
    <w:rsid w:val="00C7190A"/>
    <w:rsid w:val="00C71FBB"/>
    <w:rsid w:val="00C74F56"/>
    <w:rsid w:val="00C765EF"/>
    <w:rsid w:val="00C8167D"/>
    <w:rsid w:val="00C82F57"/>
    <w:rsid w:val="00C830A2"/>
    <w:rsid w:val="00C83327"/>
    <w:rsid w:val="00C86409"/>
    <w:rsid w:val="00C87470"/>
    <w:rsid w:val="00C87A06"/>
    <w:rsid w:val="00C90A1A"/>
    <w:rsid w:val="00C9177E"/>
    <w:rsid w:val="00C945D5"/>
    <w:rsid w:val="00C95F4D"/>
    <w:rsid w:val="00CA11C7"/>
    <w:rsid w:val="00CA29EE"/>
    <w:rsid w:val="00CA3F34"/>
    <w:rsid w:val="00CA436F"/>
    <w:rsid w:val="00CB5322"/>
    <w:rsid w:val="00CC0B1D"/>
    <w:rsid w:val="00CC1794"/>
    <w:rsid w:val="00CC200D"/>
    <w:rsid w:val="00CC56EE"/>
    <w:rsid w:val="00CC5B93"/>
    <w:rsid w:val="00CC6BF1"/>
    <w:rsid w:val="00CC7E3A"/>
    <w:rsid w:val="00CD0090"/>
    <w:rsid w:val="00CD03DE"/>
    <w:rsid w:val="00CD1EA1"/>
    <w:rsid w:val="00CD315F"/>
    <w:rsid w:val="00CD4392"/>
    <w:rsid w:val="00CD6CDE"/>
    <w:rsid w:val="00CD73DD"/>
    <w:rsid w:val="00CE1306"/>
    <w:rsid w:val="00CE196A"/>
    <w:rsid w:val="00CE19EC"/>
    <w:rsid w:val="00CE4F43"/>
    <w:rsid w:val="00CE70E2"/>
    <w:rsid w:val="00CF0DE2"/>
    <w:rsid w:val="00CF1968"/>
    <w:rsid w:val="00CF237B"/>
    <w:rsid w:val="00CF2879"/>
    <w:rsid w:val="00CF289D"/>
    <w:rsid w:val="00CF706E"/>
    <w:rsid w:val="00D00F2E"/>
    <w:rsid w:val="00D00FAE"/>
    <w:rsid w:val="00D017C5"/>
    <w:rsid w:val="00D03962"/>
    <w:rsid w:val="00D03D54"/>
    <w:rsid w:val="00D04719"/>
    <w:rsid w:val="00D05970"/>
    <w:rsid w:val="00D05BC7"/>
    <w:rsid w:val="00D0670B"/>
    <w:rsid w:val="00D11FEC"/>
    <w:rsid w:val="00D129FA"/>
    <w:rsid w:val="00D12B30"/>
    <w:rsid w:val="00D146AE"/>
    <w:rsid w:val="00D25C66"/>
    <w:rsid w:val="00D31930"/>
    <w:rsid w:val="00D31EB1"/>
    <w:rsid w:val="00D34678"/>
    <w:rsid w:val="00D35B24"/>
    <w:rsid w:val="00D370D8"/>
    <w:rsid w:val="00D403D7"/>
    <w:rsid w:val="00D416D0"/>
    <w:rsid w:val="00D42B2A"/>
    <w:rsid w:val="00D452DB"/>
    <w:rsid w:val="00D4562C"/>
    <w:rsid w:val="00D46636"/>
    <w:rsid w:val="00D50B91"/>
    <w:rsid w:val="00D5243C"/>
    <w:rsid w:val="00D52753"/>
    <w:rsid w:val="00D53B13"/>
    <w:rsid w:val="00D54AAF"/>
    <w:rsid w:val="00D5747E"/>
    <w:rsid w:val="00D64394"/>
    <w:rsid w:val="00D64A71"/>
    <w:rsid w:val="00D6575C"/>
    <w:rsid w:val="00D677CF"/>
    <w:rsid w:val="00D70C23"/>
    <w:rsid w:val="00D71466"/>
    <w:rsid w:val="00D80120"/>
    <w:rsid w:val="00D80165"/>
    <w:rsid w:val="00D8116C"/>
    <w:rsid w:val="00D819B1"/>
    <w:rsid w:val="00D860FA"/>
    <w:rsid w:val="00D86501"/>
    <w:rsid w:val="00D86BE7"/>
    <w:rsid w:val="00D8720D"/>
    <w:rsid w:val="00D87596"/>
    <w:rsid w:val="00D87644"/>
    <w:rsid w:val="00D916B3"/>
    <w:rsid w:val="00D918A0"/>
    <w:rsid w:val="00D93888"/>
    <w:rsid w:val="00D938B0"/>
    <w:rsid w:val="00D95264"/>
    <w:rsid w:val="00D955D8"/>
    <w:rsid w:val="00D96D8A"/>
    <w:rsid w:val="00DA3E48"/>
    <w:rsid w:val="00DA6A06"/>
    <w:rsid w:val="00DA79BC"/>
    <w:rsid w:val="00DB2F35"/>
    <w:rsid w:val="00DB4B75"/>
    <w:rsid w:val="00DB5933"/>
    <w:rsid w:val="00DB6B57"/>
    <w:rsid w:val="00DC11E7"/>
    <w:rsid w:val="00DC18A9"/>
    <w:rsid w:val="00DC37A3"/>
    <w:rsid w:val="00DC4468"/>
    <w:rsid w:val="00DC5B53"/>
    <w:rsid w:val="00DC7A83"/>
    <w:rsid w:val="00DD0941"/>
    <w:rsid w:val="00DD3356"/>
    <w:rsid w:val="00DD58C2"/>
    <w:rsid w:val="00DD76F4"/>
    <w:rsid w:val="00DE18EB"/>
    <w:rsid w:val="00DE2C28"/>
    <w:rsid w:val="00DE3A5B"/>
    <w:rsid w:val="00DE6456"/>
    <w:rsid w:val="00DF035B"/>
    <w:rsid w:val="00DF052E"/>
    <w:rsid w:val="00DF42B4"/>
    <w:rsid w:val="00E0369E"/>
    <w:rsid w:val="00E05BDE"/>
    <w:rsid w:val="00E07DD7"/>
    <w:rsid w:val="00E11111"/>
    <w:rsid w:val="00E11707"/>
    <w:rsid w:val="00E12D40"/>
    <w:rsid w:val="00E1550D"/>
    <w:rsid w:val="00E15C28"/>
    <w:rsid w:val="00E22623"/>
    <w:rsid w:val="00E2474D"/>
    <w:rsid w:val="00E25EEC"/>
    <w:rsid w:val="00E305F2"/>
    <w:rsid w:val="00E30D7F"/>
    <w:rsid w:val="00E31EFC"/>
    <w:rsid w:val="00E330AA"/>
    <w:rsid w:val="00E330CF"/>
    <w:rsid w:val="00E36625"/>
    <w:rsid w:val="00E367D1"/>
    <w:rsid w:val="00E40325"/>
    <w:rsid w:val="00E404CB"/>
    <w:rsid w:val="00E41A5E"/>
    <w:rsid w:val="00E514C8"/>
    <w:rsid w:val="00E52634"/>
    <w:rsid w:val="00E56720"/>
    <w:rsid w:val="00E63D4C"/>
    <w:rsid w:val="00E63E5D"/>
    <w:rsid w:val="00E6592F"/>
    <w:rsid w:val="00E67B8D"/>
    <w:rsid w:val="00E707E3"/>
    <w:rsid w:val="00E70B3F"/>
    <w:rsid w:val="00E71211"/>
    <w:rsid w:val="00E71D3A"/>
    <w:rsid w:val="00E72150"/>
    <w:rsid w:val="00E7436A"/>
    <w:rsid w:val="00E74D7E"/>
    <w:rsid w:val="00E75AAF"/>
    <w:rsid w:val="00E76669"/>
    <w:rsid w:val="00E7679A"/>
    <w:rsid w:val="00E772F5"/>
    <w:rsid w:val="00E80CC8"/>
    <w:rsid w:val="00E838D9"/>
    <w:rsid w:val="00E8470E"/>
    <w:rsid w:val="00E858D8"/>
    <w:rsid w:val="00E85FCA"/>
    <w:rsid w:val="00E87CB9"/>
    <w:rsid w:val="00E9204D"/>
    <w:rsid w:val="00E935AC"/>
    <w:rsid w:val="00E94084"/>
    <w:rsid w:val="00E95FDD"/>
    <w:rsid w:val="00E97148"/>
    <w:rsid w:val="00E97F6E"/>
    <w:rsid w:val="00EA3F0E"/>
    <w:rsid w:val="00EA4085"/>
    <w:rsid w:val="00EA76D8"/>
    <w:rsid w:val="00EB2A50"/>
    <w:rsid w:val="00EB2A60"/>
    <w:rsid w:val="00EB5F08"/>
    <w:rsid w:val="00EB7268"/>
    <w:rsid w:val="00EC3250"/>
    <w:rsid w:val="00EC7CAC"/>
    <w:rsid w:val="00ED2E37"/>
    <w:rsid w:val="00ED43B9"/>
    <w:rsid w:val="00ED5439"/>
    <w:rsid w:val="00ED658A"/>
    <w:rsid w:val="00EE2EE7"/>
    <w:rsid w:val="00EE5B75"/>
    <w:rsid w:val="00EF5B30"/>
    <w:rsid w:val="00EF71B0"/>
    <w:rsid w:val="00EF789D"/>
    <w:rsid w:val="00EF7B85"/>
    <w:rsid w:val="00F0016A"/>
    <w:rsid w:val="00F00A7C"/>
    <w:rsid w:val="00F01F8B"/>
    <w:rsid w:val="00F02BD3"/>
    <w:rsid w:val="00F044DD"/>
    <w:rsid w:val="00F054DD"/>
    <w:rsid w:val="00F10480"/>
    <w:rsid w:val="00F109B3"/>
    <w:rsid w:val="00F11001"/>
    <w:rsid w:val="00F12D26"/>
    <w:rsid w:val="00F12DD7"/>
    <w:rsid w:val="00F12FBD"/>
    <w:rsid w:val="00F158FA"/>
    <w:rsid w:val="00F15F1A"/>
    <w:rsid w:val="00F175B4"/>
    <w:rsid w:val="00F201C9"/>
    <w:rsid w:val="00F21D37"/>
    <w:rsid w:val="00F222A0"/>
    <w:rsid w:val="00F22CC7"/>
    <w:rsid w:val="00F22E26"/>
    <w:rsid w:val="00F2630D"/>
    <w:rsid w:val="00F27AC4"/>
    <w:rsid w:val="00F27E4A"/>
    <w:rsid w:val="00F3022F"/>
    <w:rsid w:val="00F31609"/>
    <w:rsid w:val="00F344C6"/>
    <w:rsid w:val="00F352C7"/>
    <w:rsid w:val="00F41605"/>
    <w:rsid w:val="00F4332F"/>
    <w:rsid w:val="00F434FC"/>
    <w:rsid w:val="00F47E25"/>
    <w:rsid w:val="00F50A4A"/>
    <w:rsid w:val="00F53532"/>
    <w:rsid w:val="00F5659E"/>
    <w:rsid w:val="00F56C86"/>
    <w:rsid w:val="00F614F6"/>
    <w:rsid w:val="00F66A91"/>
    <w:rsid w:val="00F67EAD"/>
    <w:rsid w:val="00F74319"/>
    <w:rsid w:val="00F748F4"/>
    <w:rsid w:val="00F77A3B"/>
    <w:rsid w:val="00F8190A"/>
    <w:rsid w:val="00F81E15"/>
    <w:rsid w:val="00F81E97"/>
    <w:rsid w:val="00F83749"/>
    <w:rsid w:val="00F8470E"/>
    <w:rsid w:val="00F91B43"/>
    <w:rsid w:val="00F91E96"/>
    <w:rsid w:val="00F94CC7"/>
    <w:rsid w:val="00F95859"/>
    <w:rsid w:val="00F95B66"/>
    <w:rsid w:val="00F97D16"/>
    <w:rsid w:val="00F97FCB"/>
    <w:rsid w:val="00FA0A28"/>
    <w:rsid w:val="00FA1C33"/>
    <w:rsid w:val="00FA24D0"/>
    <w:rsid w:val="00FA2EC8"/>
    <w:rsid w:val="00FA3151"/>
    <w:rsid w:val="00FA594B"/>
    <w:rsid w:val="00FA7C7A"/>
    <w:rsid w:val="00FB2DF9"/>
    <w:rsid w:val="00FB4E02"/>
    <w:rsid w:val="00FB53A2"/>
    <w:rsid w:val="00FB5593"/>
    <w:rsid w:val="00FB6799"/>
    <w:rsid w:val="00FC0DCE"/>
    <w:rsid w:val="00FC2C98"/>
    <w:rsid w:val="00FC3303"/>
    <w:rsid w:val="00FC4BB9"/>
    <w:rsid w:val="00FC6C3D"/>
    <w:rsid w:val="00FD1D4A"/>
    <w:rsid w:val="00FD3D4D"/>
    <w:rsid w:val="00FD4E66"/>
    <w:rsid w:val="00FD609E"/>
    <w:rsid w:val="00FD6567"/>
    <w:rsid w:val="00FD7D5F"/>
    <w:rsid w:val="00FD7DA1"/>
    <w:rsid w:val="00FE69F9"/>
    <w:rsid w:val="00FF093C"/>
    <w:rsid w:val="00FF317A"/>
    <w:rsid w:val="00FF56EB"/>
    <w:rsid w:val="00FF61E8"/>
    <w:rsid w:val="00FF6346"/>
    <w:rsid w:val="00FF76E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18"/>
        <w:szCs w:val="18"/>
        <w:lang w:val="en-GB" w:eastAsia="en-US"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2" w:unhideWhenUsed="0" w:qFormat="1"/>
    <w:lsdException w:name="heading 2" w:uiPriority="3" w:unhideWhenUsed="0" w:qFormat="1"/>
    <w:lsdException w:name="heading 3" w:uiPriority="4" w:unhideWhenUsed="0" w:qFormat="1"/>
    <w:lsdException w:name="heading 4" w:uiPriority="5" w:unhideWhenUsed="0" w:qFormat="1"/>
    <w:lsdException w:name="heading 5" w:uiPriority="9"/>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24" w:unhideWhenUsed="0" w:qFormat="1"/>
    <w:lsdException w:name="List Bullet" w:uiPriority="8" w:unhideWhenUsed="0" w:qFormat="1"/>
    <w:lsdException w:name="List Number" w:uiPriority="11" w:unhideWhenUsed="0" w:qFormat="1"/>
    <w:lsdException w:name="List Bullet 2" w:uiPriority="9" w:unhideWhenUsed="0" w:qFormat="1"/>
    <w:lsdException w:name="List Bullet 3" w:uiPriority="10" w:unhideWhenUsed="0" w:qFormat="1"/>
    <w:lsdException w:name="List Number 2" w:uiPriority="12" w:unhideWhenUsed="0" w:qFormat="1"/>
    <w:lsdException w:name="List Number 3" w:uiPriority="13" w:unhideWhenUsed="0" w:qFormat="1"/>
    <w:lsdException w:name="Title" w:semiHidden="0" w:uiPriority="10" w:unhideWhenUsed="0"/>
    <w:lsdException w:name="Default Paragraph Font" w:uiPriority="1"/>
    <w:lsdException w:name="Body Text" w:semiHidden="0" w:uiPriority="0" w:unhideWhenUsed="0" w:qFormat="1"/>
    <w:lsdException w:name="Subtitle" w:semiHidden="0" w:uiPriority="11" w:unhideWhenUsed="0"/>
    <w:lsdException w:name="Hyperlink" w:unhideWhenUsed="0" w:qFormat="1"/>
    <w:lsdException w:name="FollowedHyperlink" w:uiPriority="27" w:unhideWhenUsed="0" w:qFormat="1"/>
    <w:lsdException w:name="Strong" w:semiHidden="0" w:uiPriority="22" w:unhideWhenUsed="0"/>
    <w:lsdException w:name="Emphasis" w:semiHidden="0" w:uiPriority="20" w:unhideWhenUsed="0"/>
    <w:lsdException w:name="Table Grid" w:uiPriority="59"/>
    <w:lsdException w:name="No Spacing" w:uiPriority="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1"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lsdException w:name="Bibliography" w:uiPriority="37"/>
    <w:lsdException w:name="TOC Heading" w:uiPriority="39"/>
  </w:latentStyles>
  <w:style w:type="paragraph" w:default="1" w:styleId="Normal">
    <w:name w:val="Normal"/>
    <w:uiPriority w:val="1"/>
    <w:qFormat/>
    <w:rsid w:val="005A1F44"/>
    <w:pPr>
      <w:tabs>
        <w:tab w:val="left" w:pos="284"/>
      </w:tabs>
      <w:spacing w:line="240" w:lineRule="atLeast"/>
    </w:pPr>
    <w:rPr>
      <w:kern w:val="18"/>
    </w:rPr>
  </w:style>
  <w:style w:type="paragraph" w:styleId="Heading1">
    <w:name w:val="heading 1"/>
    <w:basedOn w:val="Normal"/>
    <w:next w:val="BodyText"/>
    <w:link w:val="Heading1Char"/>
    <w:uiPriority w:val="2"/>
    <w:qFormat/>
    <w:rsid w:val="005A1F44"/>
    <w:pPr>
      <w:keepNext/>
      <w:keepLines/>
      <w:numPr>
        <w:numId w:val="20"/>
      </w:numPr>
      <w:tabs>
        <w:tab w:val="clear" w:pos="284"/>
      </w:tabs>
      <w:spacing w:before="180" w:after="180" w:line="264" w:lineRule="auto"/>
      <w:outlineLvl w:val="0"/>
    </w:pPr>
    <w:rPr>
      <w:rFonts w:asciiTheme="majorHAnsi" w:eastAsiaTheme="majorEastAsia" w:hAnsiTheme="majorHAnsi" w:cstheme="majorBidi"/>
      <w:b/>
      <w:bCs/>
      <w:color w:val="00B5E2" w:themeColor="accent1"/>
      <w:sz w:val="30"/>
      <w:szCs w:val="28"/>
    </w:rPr>
  </w:style>
  <w:style w:type="paragraph" w:styleId="Heading2">
    <w:name w:val="heading 2"/>
    <w:basedOn w:val="Normal"/>
    <w:next w:val="BodyText"/>
    <w:link w:val="Heading2Char"/>
    <w:uiPriority w:val="3"/>
    <w:qFormat/>
    <w:rsid w:val="005A1F44"/>
    <w:pPr>
      <w:keepNext/>
      <w:keepLines/>
      <w:numPr>
        <w:ilvl w:val="1"/>
        <w:numId w:val="20"/>
      </w:numPr>
      <w:tabs>
        <w:tab w:val="clear" w:pos="284"/>
      </w:tabs>
      <w:spacing w:before="240" w:after="180" w:line="264" w:lineRule="auto"/>
      <w:outlineLvl w:val="1"/>
    </w:pPr>
    <w:rPr>
      <w:rFonts w:asciiTheme="majorHAnsi" w:eastAsiaTheme="majorEastAsia" w:hAnsiTheme="majorHAnsi" w:cstheme="majorBidi"/>
      <w:bCs/>
      <w:color w:val="00B5E2" w:themeColor="accent1"/>
      <w:sz w:val="26"/>
      <w:szCs w:val="26"/>
    </w:rPr>
  </w:style>
  <w:style w:type="paragraph" w:styleId="Heading3">
    <w:name w:val="heading 3"/>
    <w:basedOn w:val="Normal"/>
    <w:next w:val="BodyText"/>
    <w:link w:val="Heading3Char"/>
    <w:uiPriority w:val="4"/>
    <w:qFormat/>
    <w:rsid w:val="005A1F44"/>
    <w:pPr>
      <w:keepNext/>
      <w:keepLines/>
      <w:numPr>
        <w:ilvl w:val="2"/>
        <w:numId w:val="20"/>
      </w:numPr>
      <w:tabs>
        <w:tab w:val="clear" w:pos="284"/>
      </w:tabs>
      <w:spacing w:before="240" w:after="180" w:line="264" w:lineRule="auto"/>
      <w:outlineLvl w:val="2"/>
    </w:pPr>
    <w:rPr>
      <w:rFonts w:asciiTheme="majorHAnsi" w:eastAsiaTheme="majorEastAsia" w:hAnsiTheme="majorHAnsi" w:cstheme="majorBidi"/>
      <w:bCs/>
      <w:color w:val="00B5E2" w:themeColor="accent1"/>
      <w:sz w:val="22"/>
    </w:rPr>
  </w:style>
  <w:style w:type="paragraph" w:styleId="Heading4">
    <w:name w:val="heading 4"/>
    <w:basedOn w:val="Normal"/>
    <w:next w:val="BodyText"/>
    <w:link w:val="Heading4Char"/>
    <w:uiPriority w:val="5"/>
    <w:qFormat/>
    <w:rsid w:val="005A1F44"/>
    <w:pPr>
      <w:keepNext/>
      <w:keepLines/>
      <w:numPr>
        <w:ilvl w:val="3"/>
        <w:numId w:val="20"/>
      </w:numPr>
      <w:tabs>
        <w:tab w:val="clear" w:pos="284"/>
      </w:tabs>
      <w:spacing w:before="240" w:after="180" w:line="264" w:lineRule="auto"/>
      <w:outlineLvl w:val="3"/>
    </w:pPr>
    <w:rPr>
      <w:rFonts w:asciiTheme="majorHAnsi" w:eastAsiaTheme="majorEastAsia" w:hAnsiTheme="majorHAnsi" w:cstheme="majorBidi"/>
      <w:bCs/>
      <w:iCs/>
    </w:rPr>
  </w:style>
  <w:style w:type="paragraph" w:styleId="Heading5">
    <w:name w:val="heading 5"/>
    <w:basedOn w:val="Normal"/>
    <w:next w:val="BodyText"/>
    <w:link w:val="Heading5Char"/>
    <w:uiPriority w:val="9"/>
    <w:semiHidden/>
    <w:unhideWhenUsed/>
    <w:rsid w:val="002770A0"/>
    <w:pPr>
      <w:keepNext/>
      <w:keepLines/>
      <w:numPr>
        <w:ilvl w:val="4"/>
        <w:numId w:val="9"/>
      </w:numPr>
      <w:spacing w:before="120"/>
      <w:outlineLvl w:val="4"/>
    </w:pPr>
    <w:rPr>
      <w:rFonts w:asciiTheme="majorHAnsi" w:eastAsiaTheme="majorEastAsia" w:hAnsiTheme="majorHAnsi" w:cstheme="majorBidi"/>
      <w:b/>
      <w:color w:val="00B5E2" w:themeColor="accent1"/>
    </w:rPr>
  </w:style>
  <w:style w:type="paragraph" w:styleId="Heading6">
    <w:name w:val="heading 6"/>
    <w:basedOn w:val="Normal"/>
    <w:next w:val="Normal"/>
    <w:link w:val="Heading6Char"/>
    <w:uiPriority w:val="9"/>
    <w:unhideWhenUsed/>
    <w:qFormat/>
    <w:rsid w:val="00582989"/>
    <w:pPr>
      <w:keepNext/>
      <w:keepLines/>
      <w:numPr>
        <w:ilvl w:val="5"/>
        <w:numId w:val="20"/>
      </w:numPr>
      <w:spacing w:before="200"/>
      <w:outlineLvl w:val="5"/>
    </w:pPr>
    <w:rPr>
      <w:rFonts w:asciiTheme="majorHAnsi" w:eastAsiaTheme="majorEastAsia" w:hAnsiTheme="majorHAnsi" w:cstheme="majorBidi"/>
      <w:i/>
      <w:iCs/>
      <w:color w:val="005970" w:themeColor="accent1" w:themeShade="7F"/>
    </w:rPr>
  </w:style>
  <w:style w:type="paragraph" w:styleId="Heading7">
    <w:name w:val="heading 7"/>
    <w:basedOn w:val="Normal"/>
    <w:next w:val="Normal"/>
    <w:link w:val="Heading7Char"/>
    <w:uiPriority w:val="9"/>
    <w:unhideWhenUsed/>
    <w:qFormat/>
    <w:rsid w:val="00582989"/>
    <w:pPr>
      <w:keepNext/>
      <w:keepLines/>
      <w:numPr>
        <w:ilvl w:val="6"/>
        <w:numId w:val="20"/>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582989"/>
    <w:pPr>
      <w:keepNext/>
      <w:keepLines/>
      <w:numPr>
        <w:ilvl w:val="7"/>
        <w:numId w:val="20"/>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582989"/>
    <w:pPr>
      <w:keepNext/>
      <w:keepLines/>
      <w:numPr>
        <w:ilvl w:val="8"/>
        <w:numId w:val="20"/>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5A1F44"/>
    <w:rPr>
      <w:rFonts w:asciiTheme="majorHAnsi" w:eastAsiaTheme="majorEastAsia" w:hAnsiTheme="majorHAnsi" w:cstheme="majorBidi"/>
      <w:b/>
      <w:bCs/>
      <w:color w:val="00B5E2" w:themeColor="accent1"/>
      <w:kern w:val="18"/>
      <w:sz w:val="30"/>
      <w:szCs w:val="28"/>
    </w:rPr>
  </w:style>
  <w:style w:type="character" w:customStyle="1" w:styleId="Heading2Char">
    <w:name w:val="Heading 2 Char"/>
    <w:basedOn w:val="DefaultParagraphFont"/>
    <w:link w:val="Heading2"/>
    <w:uiPriority w:val="3"/>
    <w:rsid w:val="005A1F44"/>
    <w:rPr>
      <w:rFonts w:asciiTheme="majorHAnsi" w:eastAsiaTheme="majorEastAsia" w:hAnsiTheme="majorHAnsi" w:cstheme="majorBidi"/>
      <w:bCs/>
      <w:color w:val="00B5E2" w:themeColor="accent1"/>
      <w:kern w:val="18"/>
      <w:sz w:val="26"/>
      <w:szCs w:val="26"/>
    </w:rPr>
  </w:style>
  <w:style w:type="character" w:customStyle="1" w:styleId="Heading3Char">
    <w:name w:val="Heading 3 Char"/>
    <w:basedOn w:val="DefaultParagraphFont"/>
    <w:link w:val="Heading3"/>
    <w:uiPriority w:val="4"/>
    <w:rsid w:val="005A1F44"/>
    <w:rPr>
      <w:rFonts w:asciiTheme="majorHAnsi" w:eastAsiaTheme="majorEastAsia" w:hAnsiTheme="majorHAnsi" w:cstheme="majorBidi"/>
      <w:bCs/>
      <w:color w:val="00B5E2" w:themeColor="accent1"/>
      <w:kern w:val="18"/>
      <w:sz w:val="22"/>
    </w:rPr>
  </w:style>
  <w:style w:type="paragraph" w:styleId="ListNumber">
    <w:name w:val="List Number"/>
    <w:basedOn w:val="Normal"/>
    <w:uiPriority w:val="11"/>
    <w:qFormat/>
    <w:rsid w:val="00790710"/>
    <w:pPr>
      <w:numPr>
        <w:numId w:val="15"/>
      </w:numPr>
      <w:tabs>
        <w:tab w:val="clear" w:pos="284"/>
      </w:tabs>
      <w:spacing w:after="120"/>
    </w:pPr>
  </w:style>
  <w:style w:type="paragraph" w:styleId="ListNumber2">
    <w:name w:val="List Number 2"/>
    <w:basedOn w:val="Normal"/>
    <w:uiPriority w:val="12"/>
    <w:qFormat/>
    <w:rsid w:val="00790710"/>
    <w:pPr>
      <w:numPr>
        <w:ilvl w:val="1"/>
        <w:numId w:val="15"/>
      </w:numPr>
      <w:tabs>
        <w:tab w:val="clear" w:pos="284"/>
      </w:tabs>
      <w:spacing w:after="120"/>
    </w:pPr>
  </w:style>
  <w:style w:type="paragraph" w:styleId="ListNumber3">
    <w:name w:val="List Number 3"/>
    <w:basedOn w:val="Normal"/>
    <w:uiPriority w:val="13"/>
    <w:qFormat/>
    <w:rsid w:val="00790710"/>
    <w:pPr>
      <w:numPr>
        <w:ilvl w:val="2"/>
        <w:numId w:val="15"/>
      </w:numPr>
      <w:tabs>
        <w:tab w:val="clear" w:pos="284"/>
      </w:tabs>
      <w:spacing w:after="120"/>
    </w:pPr>
  </w:style>
  <w:style w:type="paragraph" w:styleId="ListBullet">
    <w:name w:val="List Bullet"/>
    <w:basedOn w:val="Normal"/>
    <w:uiPriority w:val="8"/>
    <w:qFormat/>
    <w:rsid w:val="00790710"/>
    <w:pPr>
      <w:numPr>
        <w:numId w:val="14"/>
      </w:numPr>
      <w:tabs>
        <w:tab w:val="clear" w:pos="284"/>
      </w:tabs>
      <w:spacing w:after="120"/>
    </w:pPr>
  </w:style>
  <w:style w:type="paragraph" w:styleId="ListBullet2">
    <w:name w:val="List Bullet 2"/>
    <w:basedOn w:val="Normal"/>
    <w:uiPriority w:val="9"/>
    <w:qFormat/>
    <w:rsid w:val="00790710"/>
    <w:pPr>
      <w:numPr>
        <w:ilvl w:val="1"/>
        <w:numId w:val="14"/>
      </w:numPr>
      <w:tabs>
        <w:tab w:val="clear" w:pos="284"/>
      </w:tabs>
      <w:spacing w:after="120"/>
    </w:pPr>
  </w:style>
  <w:style w:type="paragraph" w:styleId="ListBullet3">
    <w:name w:val="List Bullet 3"/>
    <w:basedOn w:val="Normal"/>
    <w:uiPriority w:val="10"/>
    <w:qFormat/>
    <w:rsid w:val="00790710"/>
    <w:pPr>
      <w:numPr>
        <w:ilvl w:val="2"/>
        <w:numId w:val="14"/>
      </w:numPr>
      <w:tabs>
        <w:tab w:val="clear" w:pos="284"/>
      </w:tabs>
      <w:spacing w:after="120"/>
    </w:pPr>
  </w:style>
  <w:style w:type="character" w:customStyle="1" w:styleId="Heading4Char">
    <w:name w:val="Heading 4 Char"/>
    <w:basedOn w:val="DefaultParagraphFont"/>
    <w:link w:val="Heading4"/>
    <w:rsid w:val="005A1F44"/>
    <w:rPr>
      <w:rFonts w:asciiTheme="majorHAnsi" w:eastAsiaTheme="majorEastAsia" w:hAnsiTheme="majorHAnsi" w:cstheme="majorBidi"/>
      <w:bCs/>
      <w:iCs/>
      <w:kern w:val="18"/>
    </w:rPr>
  </w:style>
  <w:style w:type="numbering" w:customStyle="1" w:styleId="AECOMBullets">
    <w:name w:val="AECOM_Bullets"/>
    <w:basedOn w:val="NoList"/>
    <w:uiPriority w:val="99"/>
    <w:semiHidden/>
    <w:unhideWhenUsed/>
    <w:rsid w:val="00C86409"/>
    <w:pPr>
      <w:numPr>
        <w:numId w:val="1"/>
      </w:numPr>
    </w:pPr>
  </w:style>
  <w:style w:type="character" w:customStyle="1" w:styleId="Heading5Char">
    <w:name w:val="Heading 5 Char"/>
    <w:basedOn w:val="DefaultParagraphFont"/>
    <w:link w:val="Heading5"/>
    <w:uiPriority w:val="9"/>
    <w:semiHidden/>
    <w:rsid w:val="00F66A91"/>
    <w:rPr>
      <w:rFonts w:asciiTheme="majorHAnsi" w:eastAsiaTheme="majorEastAsia" w:hAnsiTheme="majorHAnsi" w:cstheme="majorBidi"/>
      <w:b/>
      <w:color w:val="00B5E2" w:themeColor="accent1"/>
      <w:kern w:val="18"/>
    </w:rPr>
  </w:style>
  <w:style w:type="paragraph" w:styleId="BodyText">
    <w:name w:val="Body Text"/>
    <w:basedOn w:val="Normal"/>
    <w:link w:val="BodyTextChar"/>
    <w:qFormat/>
    <w:rsid w:val="00676FE6"/>
    <w:pPr>
      <w:spacing w:after="180"/>
    </w:pPr>
  </w:style>
  <w:style w:type="numbering" w:customStyle="1" w:styleId="AECOMList">
    <w:name w:val="AECOM_List"/>
    <w:basedOn w:val="NoList"/>
    <w:uiPriority w:val="99"/>
    <w:semiHidden/>
    <w:unhideWhenUsed/>
    <w:rsid w:val="00323654"/>
    <w:pPr>
      <w:numPr>
        <w:numId w:val="2"/>
      </w:numPr>
    </w:pPr>
  </w:style>
  <w:style w:type="character" w:customStyle="1" w:styleId="BodyTextChar">
    <w:name w:val="Body Text Char"/>
    <w:basedOn w:val="DefaultParagraphFont"/>
    <w:link w:val="BodyText"/>
    <w:rsid w:val="00F66A91"/>
    <w:rPr>
      <w:kern w:val="18"/>
    </w:rPr>
  </w:style>
  <w:style w:type="paragraph" w:customStyle="1" w:styleId="CoverTitle">
    <w:name w:val="Cover Title"/>
    <w:basedOn w:val="Normal"/>
    <w:next w:val="BodyText"/>
    <w:semiHidden/>
    <w:unhideWhenUsed/>
    <w:rsid w:val="00DD3356"/>
    <w:pPr>
      <w:spacing w:before="360" w:after="360" w:line="900" w:lineRule="atLeast"/>
    </w:pPr>
    <w:rPr>
      <w:rFonts w:asciiTheme="majorHAnsi" w:hAnsiTheme="majorHAnsi"/>
      <w:b/>
      <w:color w:val="00B5E2" w:themeColor="accent1"/>
      <w:sz w:val="80"/>
    </w:rPr>
  </w:style>
  <w:style w:type="paragraph" w:customStyle="1" w:styleId="SectionTitle">
    <w:name w:val="Section Title"/>
    <w:basedOn w:val="BodyText"/>
    <w:next w:val="BodyText"/>
    <w:semiHidden/>
    <w:unhideWhenUsed/>
    <w:rsid w:val="00D129FA"/>
    <w:pPr>
      <w:spacing w:before="360" w:after="360" w:line="660" w:lineRule="atLeast"/>
      <w:jc w:val="right"/>
    </w:pPr>
    <w:rPr>
      <w:rFonts w:asciiTheme="majorHAnsi" w:hAnsiTheme="majorHAnsi"/>
      <w:color w:val="FFFFFF" w:themeColor="background1"/>
      <w:sz w:val="60"/>
    </w:rPr>
  </w:style>
  <w:style w:type="paragraph" w:customStyle="1" w:styleId="DividerSectionNumber">
    <w:name w:val="Divider Section Number"/>
    <w:basedOn w:val="BodyText"/>
    <w:next w:val="BodyText"/>
    <w:semiHidden/>
    <w:unhideWhenUsed/>
    <w:rsid w:val="00B55307"/>
    <w:pPr>
      <w:tabs>
        <w:tab w:val="clear" w:pos="284"/>
      </w:tabs>
      <w:spacing w:before="360" w:after="360" w:line="2400" w:lineRule="atLeast"/>
      <w:jc w:val="right"/>
    </w:pPr>
    <w:rPr>
      <w:rFonts w:asciiTheme="majorHAnsi" w:hAnsiTheme="majorHAnsi"/>
      <w:color w:val="FFFFFF" w:themeColor="background1"/>
      <w:sz w:val="200"/>
    </w:rPr>
  </w:style>
  <w:style w:type="paragraph" w:customStyle="1" w:styleId="DividerSectionNumberSmall">
    <w:name w:val="Divider Section Number (Small)"/>
    <w:basedOn w:val="Normal"/>
    <w:next w:val="BodyText"/>
    <w:semiHidden/>
    <w:unhideWhenUsed/>
    <w:rsid w:val="00DD3356"/>
    <w:pPr>
      <w:spacing w:before="360" w:after="360" w:line="1440" w:lineRule="atLeast"/>
      <w:jc w:val="right"/>
    </w:pPr>
    <w:rPr>
      <w:rFonts w:asciiTheme="majorHAnsi" w:hAnsiTheme="majorHAnsi"/>
      <w:b/>
      <w:color w:val="00B5E2" w:themeColor="accent1"/>
      <w:sz w:val="120"/>
    </w:rPr>
  </w:style>
  <w:style w:type="table" w:styleId="TableGrid">
    <w:name w:val="Table Grid"/>
    <w:basedOn w:val="TableNormal"/>
    <w:uiPriority w:val="59"/>
    <w:unhideWhenUsed/>
    <w:rsid w:val="00364FD7"/>
    <w:rPr>
      <w:sz w:val="1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Pr>
    <w:tblStylePr w:type="firstRow">
      <w:rPr>
        <w:rFonts w:asciiTheme="majorHAnsi" w:hAnsiTheme="majorHAnsi"/>
        <w:b w:val="0"/>
      </w:rPr>
    </w:tblStylePr>
  </w:style>
  <w:style w:type="table" w:customStyle="1" w:styleId="AECOMtable">
    <w:name w:val="AECOM table"/>
    <w:basedOn w:val="TableNormal"/>
    <w:uiPriority w:val="99"/>
    <w:semiHidden/>
    <w:unhideWhenUsed/>
    <w:rsid w:val="003A3279"/>
    <w:rPr>
      <w:sz w:val="16"/>
    </w:rPr>
    <w:tblPr>
      <w:tblBorders>
        <w:insideH w:val="single" w:sz="4" w:space="0" w:color="auto"/>
      </w:tblBorders>
      <w:tblCellMar>
        <w:top w:w="28" w:type="dxa"/>
        <w:left w:w="0" w:type="dxa"/>
        <w:bottom w:w="28" w:type="dxa"/>
        <w:right w:w="113" w:type="dxa"/>
      </w:tblCellMar>
    </w:tblPr>
    <w:tblStylePr w:type="firstRow">
      <w:rPr>
        <w:rFonts w:asciiTheme="majorHAnsi" w:hAnsiTheme="majorHAnsi"/>
        <w:b/>
        <w:color w:val="00B5E2" w:themeColor="accent1"/>
        <w:sz w:val="16"/>
      </w:rPr>
      <w:tblPr/>
      <w:tcPr>
        <w:tcBorders>
          <w:top w:val="nil"/>
          <w:left w:val="nil"/>
          <w:bottom w:val="single" w:sz="12" w:space="0" w:color="00B5E2" w:themeColor="accent1"/>
          <w:right w:val="nil"/>
          <w:insideH w:val="nil"/>
          <w:insideV w:val="nil"/>
          <w:tl2br w:val="nil"/>
          <w:tr2bl w:val="nil"/>
        </w:tcBorders>
      </w:tcPr>
    </w:tblStylePr>
  </w:style>
  <w:style w:type="paragraph" w:styleId="Caption">
    <w:name w:val="caption"/>
    <w:basedOn w:val="Normal"/>
    <w:next w:val="BodyText"/>
    <w:uiPriority w:val="24"/>
    <w:qFormat/>
    <w:rsid w:val="008D11A6"/>
    <w:pPr>
      <w:keepNext/>
      <w:spacing w:after="120"/>
    </w:pPr>
    <w:rPr>
      <w:rFonts w:asciiTheme="majorHAnsi" w:hAnsiTheme="majorHAnsi"/>
      <w:b/>
      <w:bCs/>
      <w:color w:val="00B5E2" w:themeColor="accent1"/>
      <w:sz w:val="20"/>
    </w:rPr>
  </w:style>
  <w:style w:type="paragraph" w:customStyle="1" w:styleId="Source">
    <w:name w:val="Source"/>
    <w:basedOn w:val="Normal"/>
    <w:uiPriority w:val="25"/>
    <w:qFormat/>
    <w:rsid w:val="00F4332F"/>
    <w:pPr>
      <w:spacing w:after="120"/>
    </w:pPr>
    <w:rPr>
      <w:i/>
      <w:sz w:val="16"/>
    </w:rPr>
  </w:style>
  <w:style w:type="paragraph" w:styleId="FootnoteText">
    <w:name w:val="footnote text"/>
    <w:basedOn w:val="Normal"/>
    <w:link w:val="FootnoteTextChar"/>
    <w:uiPriority w:val="99"/>
    <w:unhideWhenUsed/>
    <w:rsid w:val="00253171"/>
    <w:pPr>
      <w:spacing w:line="240" w:lineRule="auto"/>
    </w:pPr>
    <w:rPr>
      <w:sz w:val="16"/>
      <w:szCs w:val="20"/>
    </w:rPr>
  </w:style>
  <w:style w:type="character" w:customStyle="1" w:styleId="FootnoteTextChar">
    <w:name w:val="Footnote Text Char"/>
    <w:basedOn w:val="DefaultParagraphFont"/>
    <w:link w:val="FootnoteText"/>
    <w:uiPriority w:val="99"/>
    <w:rsid w:val="00F66A91"/>
    <w:rPr>
      <w:kern w:val="18"/>
      <w:sz w:val="16"/>
      <w:szCs w:val="20"/>
    </w:rPr>
  </w:style>
  <w:style w:type="character" w:styleId="FootnoteReference">
    <w:name w:val="footnote reference"/>
    <w:basedOn w:val="DefaultParagraphFont"/>
    <w:uiPriority w:val="99"/>
    <w:unhideWhenUsed/>
    <w:rsid w:val="00F27E4A"/>
    <w:rPr>
      <w:rFonts w:asciiTheme="majorHAnsi" w:hAnsiTheme="majorHAnsi"/>
      <w:color w:val="auto"/>
      <w:vertAlign w:val="superscript"/>
    </w:rPr>
  </w:style>
  <w:style w:type="paragraph" w:customStyle="1" w:styleId="Appendix">
    <w:name w:val="Appendix"/>
    <w:basedOn w:val="Heading1"/>
    <w:next w:val="BodyText"/>
    <w:uiPriority w:val="6"/>
    <w:qFormat/>
    <w:rsid w:val="005A1F44"/>
    <w:pPr>
      <w:pageBreakBefore/>
      <w:numPr>
        <w:numId w:val="21"/>
      </w:numPr>
    </w:pPr>
  </w:style>
  <w:style w:type="character" w:styleId="Hyperlink">
    <w:name w:val="Hyperlink"/>
    <w:basedOn w:val="DefaultParagraphFont"/>
    <w:uiPriority w:val="99"/>
    <w:qFormat/>
    <w:rsid w:val="00F15F1A"/>
    <w:rPr>
      <w:color w:val="00B5E2" w:themeColor="accent1"/>
      <w:u w:val="single"/>
    </w:rPr>
  </w:style>
  <w:style w:type="character" w:styleId="FollowedHyperlink">
    <w:name w:val="FollowedHyperlink"/>
    <w:basedOn w:val="DefaultParagraphFont"/>
    <w:uiPriority w:val="27"/>
    <w:qFormat/>
    <w:rsid w:val="00F15F1A"/>
    <w:rPr>
      <w:color w:val="84BD00" w:themeColor="accent2"/>
      <w:u w:val="single"/>
    </w:rPr>
  </w:style>
  <w:style w:type="table" w:styleId="ColorfulGrid">
    <w:name w:val="Colorful Grid"/>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C6F3FF" w:themeFill="accent1" w:themeFillTint="33"/>
    </w:tcPr>
    <w:tblStylePr w:type="firstRow">
      <w:rPr>
        <w:b/>
        <w:bCs/>
      </w:rPr>
      <w:tblPr/>
      <w:tcPr>
        <w:shd w:val="clear" w:color="auto" w:fill="8DE8FF" w:themeFill="accent1" w:themeFillTint="66"/>
      </w:tcPr>
    </w:tblStylePr>
    <w:tblStylePr w:type="lastRow">
      <w:rPr>
        <w:b/>
        <w:bCs/>
        <w:color w:val="000000" w:themeColor="text1"/>
      </w:rPr>
      <w:tblPr/>
      <w:tcPr>
        <w:shd w:val="clear" w:color="auto" w:fill="8DE8FF" w:themeFill="accent1" w:themeFillTint="66"/>
      </w:tcPr>
    </w:tblStylePr>
    <w:tblStylePr w:type="firstCol">
      <w:rPr>
        <w:color w:val="FFFFFF" w:themeColor="background1"/>
      </w:rPr>
      <w:tblPr/>
      <w:tcPr>
        <w:shd w:val="clear" w:color="auto" w:fill="0087A9" w:themeFill="accent1" w:themeFillShade="BF"/>
      </w:tcPr>
    </w:tblStylePr>
    <w:tblStylePr w:type="lastCol">
      <w:rPr>
        <w:color w:val="FFFFFF" w:themeColor="background1"/>
      </w:rPr>
      <w:tblPr/>
      <w:tcPr>
        <w:shd w:val="clear" w:color="auto" w:fill="0087A9" w:themeFill="accent1" w:themeFillShade="BF"/>
      </w:tcPr>
    </w:tblStylePr>
    <w:tblStylePr w:type="band1Vert">
      <w:tblPr/>
      <w:tcPr>
        <w:shd w:val="clear" w:color="auto" w:fill="71E2FF" w:themeFill="accent1" w:themeFillTint="7F"/>
      </w:tcPr>
    </w:tblStylePr>
    <w:tblStylePr w:type="band1Horz">
      <w:tblPr/>
      <w:tcPr>
        <w:shd w:val="clear" w:color="auto" w:fill="71E2FF" w:themeFill="accent1" w:themeFillTint="7F"/>
      </w:tcPr>
    </w:tblStylePr>
  </w:style>
  <w:style w:type="table" w:styleId="ColorfulGrid-Accent2">
    <w:name w:val="Colorful Grid Accent 2"/>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EBFFBE" w:themeFill="accent2" w:themeFillTint="33"/>
    </w:tcPr>
    <w:tblStylePr w:type="firstRow">
      <w:rPr>
        <w:b/>
        <w:bCs/>
      </w:rPr>
      <w:tblPr/>
      <w:tcPr>
        <w:shd w:val="clear" w:color="auto" w:fill="D8FF7E" w:themeFill="accent2" w:themeFillTint="66"/>
      </w:tcPr>
    </w:tblStylePr>
    <w:tblStylePr w:type="lastRow">
      <w:rPr>
        <w:b/>
        <w:bCs/>
        <w:color w:val="000000" w:themeColor="text1"/>
      </w:rPr>
      <w:tblPr/>
      <w:tcPr>
        <w:shd w:val="clear" w:color="auto" w:fill="D8FF7E" w:themeFill="accent2" w:themeFillTint="66"/>
      </w:tcPr>
    </w:tblStylePr>
    <w:tblStylePr w:type="firstCol">
      <w:rPr>
        <w:color w:val="FFFFFF" w:themeColor="background1"/>
      </w:rPr>
      <w:tblPr/>
      <w:tcPr>
        <w:shd w:val="clear" w:color="auto" w:fill="628D00" w:themeFill="accent2" w:themeFillShade="BF"/>
      </w:tcPr>
    </w:tblStylePr>
    <w:tblStylePr w:type="lastCol">
      <w:rPr>
        <w:color w:val="FFFFFF" w:themeColor="background1"/>
      </w:rPr>
      <w:tblPr/>
      <w:tcPr>
        <w:shd w:val="clear" w:color="auto" w:fill="628D00" w:themeFill="accent2" w:themeFillShade="BF"/>
      </w:tcPr>
    </w:tblStylePr>
    <w:tblStylePr w:type="band1Vert">
      <w:tblPr/>
      <w:tcPr>
        <w:shd w:val="clear" w:color="auto" w:fill="CEFF5F" w:themeFill="accent2" w:themeFillTint="7F"/>
      </w:tcPr>
    </w:tblStylePr>
    <w:tblStylePr w:type="band1Horz">
      <w:tblPr/>
      <w:tcPr>
        <w:shd w:val="clear" w:color="auto" w:fill="CEFF5F" w:themeFill="accent2" w:themeFillTint="7F"/>
      </w:tcPr>
    </w:tblStylePr>
  </w:style>
  <w:style w:type="table" w:styleId="ColorfulGrid-Accent3">
    <w:name w:val="Colorful Grid Accent 3"/>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FDE7D2" w:themeFill="accent3" w:themeFillTint="33"/>
    </w:tcPr>
    <w:tblStylePr w:type="firstRow">
      <w:rPr>
        <w:b/>
        <w:bCs/>
      </w:rPr>
      <w:tblPr/>
      <w:tcPr>
        <w:shd w:val="clear" w:color="auto" w:fill="FBD0A5" w:themeFill="accent3" w:themeFillTint="66"/>
      </w:tcPr>
    </w:tblStylePr>
    <w:tblStylePr w:type="lastRow">
      <w:rPr>
        <w:b/>
        <w:bCs/>
        <w:color w:val="000000" w:themeColor="text1"/>
      </w:rPr>
      <w:tblPr/>
      <w:tcPr>
        <w:shd w:val="clear" w:color="auto" w:fill="FBD0A5" w:themeFill="accent3" w:themeFillTint="66"/>
      </w:tcPr>
    </w:tblStylePr>
    <w:tblStylePr w:type="firstCol">
      <w:rPr>
        <w:color w:val="FFFFFF" w:themeColor="background1"/>
      </w:rPr>
      <w:tblPr/>
      <w:tcPr>
        <w:shd w:val="clear" w:color="auto" w:fill="C76808" w:themeFill="accent3" w:themeFillShade="BF"/>
      </w:tcPr>
    </w:tblStylePr>
    <w:tblStylePr w:type="lastCol">
      <w:rPr>
        <w:color w:val="FFFFFF" w:themeColor="background1"/>
      </w:rPr>
      <w:tblPr/>
      <w:tcPr>
        <w:shd w:val="clear" w:color="auto" w:fill="C76808" w:themeFill="accent3" w:themeFillShade="BF"/>
      </w:tcPr>
    </w:tblStylePr>
    <w:tblStylePr w:type="band1Vert">
      <w:tblPr/>
      <w:tcPr>
        <w:shd w:val="clear" w:color="auto" w:fill="FAC58F" w:themeFill="accent3" w:themeFillTint="7F"/>
      </w:tcPr>
    </w:tblStylePr>
    <w:tblStylePr w:type="band1Horz">
      <w:tblPr/>
      <w:tcPr>
        <w:shd w:val="clear" w:color="auto" w:fill="FAC58F" w:themeFill="accent3" w:themeFillTint="7F"/>
      </w:tcPr>
    </w:tblStylePr>
  </w:style>
  <w:style w:type="table" w:styleId="ColorfulGrid-Accent4">
    <w:name w:val="Colorful Grid Accent 4"/>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FFB8F0" w:themeFill="accent4" w:themeFillTint="33"/>
    </w:tcPr>
    <w:tblStylePr w:type="firstRow">
      <w:rPr>
        <w:b/>
        <w:bCs/>
      </w:rPr>
      <w:tblPr/>
      <w:tcPr>
        <w:shd w:val="clear" w:color="auto" w:fill="FF72E2" w:themeFill="accent4" w:themeFillTint="66"/>
      </w:tcPr>
    </w:tblStylePr>
    <w:tblStylePr w:type="lastRow">
      <w:rPr>
        <w:b/>
        <w:bCs/>
        <w:color w:val="000000" w:themeColor="text1"/>
      </w:rPr>
      <w:tblPr/>
      <w:tcPr>
        <w:shd w:val="clear" w:color="auto" w:fill="FF72E2" w:themeFill="accent4" w:themeFillTint="66"/>
      </w:tcPr>
    </w:tblStylePr>
    <w:tblStylePr w:type="firstCol">
      <w:rPr>
        <w:color w:val="FFFFFF" w:themeColor="background1"/>
      </w:rPr>
      <w:tblPr/>
      <w:tcPr>
        <w:shd w:val="clear" w:color="auto" w:fill="76005E" w:themeFill="accent4" w:themeFillShade="BF"/>
      </w:tcPr>
    </w:tblStylePr>
    <w:tblStylePr w:type="lastCol">
      <w:rPr>
        <w:color w:val="FFFFFF" w:themeColor="background1"/>
      </w:rPr>
      <w:tblPr/>
      <w:tcPr>
        <w:shd w:val="clear" w:color="auto" w:fill="76005E" w:themeFill="accent4" w:themeFillShade="BF"/>
      </w:tcPr>
    </w:tblStylePr>
    <w:tblStylePr w:type="band1Vert">
      <w:tblPr/>
      <w:tcPr>
        <w:shd w:val="clear" w:color="auto" w:fill="FF4FDB" w:themeFill="accent4" w:themeFillTint="7F"/>
      </w:tcPr>
    </w:tblStylePr>
    <w:tblStylePr w:type="band1Horz">
      <w:tblPr/>
      <w:tcPr>
        <w:shd w:val="clear" w:color="auto" w:fill="FF4FDB" w:themeFill="accent4" w:themeFillTint="7F"/>
      </w:tcPr>
    </w:tblStylePr>
  </w:style>
  <w:style w:type="table" w:styleId="ColorfulGrid-Accent5">
    <w:name w:val="Colorful Grid Accent 5"/>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FFF9CF" w:themeFill="accent5" w:themeFillTint="33"/>
    </w:tcPr>
    <w:tblStylePr w:type="firstRow">
      <w:rPr>
        <w:b/>
        <w:bCs/>
      </w:rPr>
      <w:tblPr/>
      <w:tcPr>
        <w:shd w:val="clear" w:color="auto" w:fill="FFF4A0" w:themeFill="accent5" w:themeFillTint="66"/>
      </w:tcPr>
    </w:tblStylePr>
    <w:tblStylePr w:type="lastRow">
      <w:rPr>
        <w:b/>
        <w:bCs/>
        <w:color w:val="000000" w:themeColor="text1"/>
      </w:rPr>
      <w:tblPr/>
      <w:tcPr>
        <w:shd w:val="clear" w:color="auto" w:fill="FFF4A0" w:themeFill="accent5" w:themeFillTint="66"/>
      </w:tcPr>
    </w:tblStylePr>
    <w:tblStylePr w:type="firstCol">
      <w:rPr>
        <w:color w:val="FFFFFF" w:themeColor="background1"/>
      </w:rPr>
      <w:tblPr/>
      <w:tcPr>
        <w:shd w:val="clear" w:color="auto" w:fill="CCB500" w:themeFill="accent5" w:themeFillShade="BF"/>
      </w:tcPr>
    </w:tblStylePr>
    <w:tblStylePr w:type="lastCol">
      <w:rPr>
        <w:color w:val="FFFFFF" w:themeColor="background1"/>
      </w:rPr>
      <w:tblPr/>
      <w:tcPr>
        <w:shd w:val="clear" w:color="auto" w:fill="CCB500" w:themeFill="accent5" w:themeFillShade="BF"/>
      </w:tcPr>
    </w:tblStylePr>
    <w:tblStylePr w:type="band1Vert">
      <w:tblPr/>
      <w:tcPr>
        <w:shd w:val="clear" w:color="auto" w:fill="FFF288" w:themeFill="accent5" w:themeFillTint="7F"/>
      </w:tcPr>
    </w:tblStylePr>
    <w:tblStylePr w:type="band1Horz">
      <w:tblPr/>
      <w:tcPr>
        <w:shd w:val="clear" w:color="auto" w:fill="FFF288" w:themeFill="accent5" w:themeFillTint="7F"/>
      </w:tcPr>
    </w:tblStylePr>
  </w:style>
  <w:style w:type="table" w:styleId="ColorfulGrid-Accent6">
    <w:name w:val="Colorful Grid Accent 6"/>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E8E5E4" w:themeFill="accent6" w:themeFillTint="33"/>
    </w:tcPr>
    <w:tblStylePr w:type="firstRow">
      <w:rPr>
        <w:b/>
        <w:bCs/>
      </w:rPr>
      <w:tblPr/>
      <w:tcPr>
        <w:shd w:val="clear" w:color="auto" w:fill="D1CCC9" w:themeFill="accent6" w:themeFillTint="66"/>
      </w:tcPr>
    </w:tblStylePr>
    <w:tblStylePr w:type="lastRow">
      <w:rPr>
        <w:b/>
        <w:bCs/>
        <w:color w:val="000000" w:themeColor="text1"/>
      </w:rPr>
      <w:tblPr/>
      <w:tcPr>
        <w:shd w:val="clear" w:color="auto" w:fill="D1CCC9" w:themeFill="accent6" w:themeFillTint="66"/>
      </w:tcPr>
    </w:tblStylePr>
    <w:tblStylePr w:type="firstCol">
      <w:rPr>
        <w:color w:val="FFFFFF" w:themeColor="background1"/>
      </w:rPr>
      <w:tblPr/>
      <w:tcPr>
        <w:shd w:val="clear" w:color="auto" w:fill="69615A" w:themeFill="accent6" w:themeFillShade="BF"/>
      </w:tcPr>
    </w:tblStylePr>
    <w:tblStylePr w:type="lastCol">
      <w:rPr>
        <w:color w:val="FFFFFF" w:themeColor="background1"/>
      </w:rPr>
      <w:tblPr/>
      <w:tcPr>
        <w:shd w:val="clear" w:color="auto" w:fill="69615A" w:themeFill="accent6" w:themeFillShade="BF"/>
      </w:tcPr>
    </w:tblStylePr>
    <w:tblStylePr w:type="band1Vert">
      <w:tblPr/>
      <w:tcPr>
        <w:shd w:val="clear" w:color="auto" w:fill="C5C0BC" w:themeFill="accent6" w:themeFillTint="7F"/>
      </w:tcPr>
    </w:tblStylePr>
    <w:tblStylePr w:type="band1Horz">
      <w:tblPr/>
      <w:tcPr>
        <w:shd w:val="clear" w:color="auto" w:fill="C5C0BC" w:themeFill="accent6" w:themeFillTint="7F"/>
      </w:tcPr>
    </w:tblStylePr>
  </w:style>
  <w:style w:type="table" w:styleId="ColorfulList">
    <w:name w:val="Colorful List"/>
    <w:basedOn w:val="TableNormal"/>
    <w:uiPriority w:val="72"/>
    <w:semiHidden/>
    <w:unhideWhenUsed/>
    <w:rsid w:val="009E6ED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699700" w:themeFill="accent2" w:themeFillShade="CC"/>
      </w:tcPr>
    </w:tblStylePr>
    <w:tblStylePr w:type="lastRow">
      <w:rPr>
        <w:b/>
        <w:bCs/>
        <w:color w:val="6997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9E6ED7"/>
    <w:rPr>
      <w:color w:val="000000" w:themeColor="text1"/>
    </w:rPr>
    <w:tblPr>
      <w:tblStyleRowBandSize w:val="1"/>
      <w:tblStyleColBandSize w:val="1"/>
    </w:tblPr>
    <w:tcPr>
      <w:shd w:val="clear" w:color="auto" w:fill="E3F9FF" w:themeFill="accent1" w:themeFillTint="19"/>
    </w:tcPr>
    <w:tblStylePr w:type="firstRow">
      <w:rPr>
        <w:b/>
        <w:bCs/>
        <w:color w:val="FFFFFF" w:themeColor="background1"/>
      </w:rPr>
      <w:tblPr/>
      <w:tcPr>
        <w:tcBorders>
          <w:bottom w:val="single" w:sz="12" w:space="0" w:color="FFFFFF" w:themeColor="background1"/>
        </w:tcBorders>
        <w:shd w:val="clear" w:color="auto" w:fill="699700" w:themeFill="accent2" w:themeFillShade="CC"/>
      </w:tcPr>
    </w:tblStylePr>
    <w:tblStylePr w:type="lastRow">
      <w:rPr>
        <w:b/>
        <w:bCs/>
        <w:color w:val="6997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8F0FF" w:themeFill="accent1" w:themeFillTint="3F"/>
      </w:tcPr>
    </w:tblStylePr>
    <w:tblStylePr w:type="band1Horz">
      <w:tblPr/>
      <w:tcPr>
        <w:shd w:val="clear" w:color="auto" w:fill="C6F3FF" w:themeFill="accent1" w:themeFillTint="33"/>
      </w:tcPr>
    </w:tblStylePr>
  </w:style>
  <w:style w:type="table" w:styleId="ColorfulList-Accent2">
    <w:name w:val="Colorful List Accent 2"/>
    <w:basedOn w:val="TableNormal"/>
    <w:uiPriority w:val="72"/>
    <w:semiHidden/>
    <w:unhideWhenUsed/>
    <w:rsid w:val="009E6ED7"/>
    <w:rPr>
      <w:color w:val="000000" w:themeColor="text1"/>
    </w:rPr>
    <w:tblPr>
      <w:tblStyleRowBandSize w:val="1"/>
      <w:tblStyleColBandSize w:val="1"/>
    </w:tblPr>
    <w:tcPr>
      <w:shd w:val="clear" w:color="auto" w:fill="F5FFDF" w:themeFill="accent2" w:themeFillTint="19"/>
    </w:tcPr>
    <w:tblStylePr w:type="firstRow">
      <w:rPr>
        <w:b/>
        <w:bCs/>
        <w:color w:val="FFFFFF" w:themeColor="background1"/>
      </w:rPr>
      <w:tblPr/>
      <w:tcPr>
        <w:tcBorders>
          <w:bottom w:val="single" w:sz="12" w:space="0" w:color="FFFFFF" w:themeColor="background1"/>
        </w:tcBorders>
        <w:shd w:val="clear" w:color="auto" w:fill="699700" w:themeFill="accent2" w:themeFillShade="CC"/>
      </w:tcPr>
    </w:tblStylePr>
    <w:tblStylePr w:type="lastRow">
      <w:rPr>
        <w:b/>
        <w:bCs/>
        <w:color w:val="6997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7FFAF" w:themeFill="accent2" w:themeFillTint="3F"/>
      </w:tcPr>
    </w:tblStylePr>
    <w:tblStylePr w:type="band1Horz">
      <w:tblPr/>
      <w:tcPr>
        <w:shd w:val="clear" w:color="auto" w:fill="EBFFBE" w:themeFill="accent2" w:themeFillTint="33"/>
      </w:tcPr>
    </w:tblStylePr>
  </w:style>
  <w:style w:type="table" w:styleId="ColorfulList-Accent3">
    <w:name w:val="Colorful List Accent 3"/>
    <w:basedOn w:val="TableNormal"/>
    <w:uiPriority w:val="72"/>
    <w:semiHidden/>
    <w:unhideWhenUsed/>
    <w:rsid w:val="009E6ED7"/>
    <w:rPr>
      <w:color w:val="000000" w:themeColor="text1"/>
    </w:rPr>
    <w:tblPr>
      <w:tblStyleRowBandSize w:val="1"/>
      <w:tblStyleColBandSize w:val="1"/>
    </w:tblPr>
    <w:tcPr>
      <w:shd w:val="clear" w:color="auto" w:fill="FEF3E8" w:themeFill="accent3" w:themeFillTint="19"/>
    </w:tcPr>
    <w:tblStylePr w:type="firstRow">
      <w:rPr>
        <w:b/>
        <w:bCs/>
        <w:color w:val="FFFFFF" w:themeColor="background1"/>
      </w:rPr>
      <w:tblPr/>
      <w:tcPr>
        <w:tcBorders>
          <w:bottom w:val="single" w:sz="12" w:space="0" w:color="FFFFFF" w:themeColor="background1"/>
        </w:tcBorders>
        <w:shd w:val="clear" w:color="auto" w:fill="7E0064" w:themeFill="accent4" w:themeFillShade="CC"/>
      </w:tcPr>
    </w:tblStylePr>
    <w:tblStylePr w:type="lastRow">
      <w:rPr>
        <w:b/>
        <w:bCs/>
        <w:color w:val="7E0064"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CE2C7" w:themeFill="accent3" w:themeFillTint="3F"/>
      </w:tcPr>
    </w:tblStylePr>
    <w:tblStylePr w:type="band1Horz">
      <w:tblPr/>
      <w:tcPr>
        <w:shd w:val="clear" w:color="auto" w:fill="FDE7D2" w:themeFill="accent3" w:themeFillTint="33"/>
      </w:tcPr>
    </w:tblStylePr>
  </w:style>
  <w:style w:type="table" w:styleId="ColorfulList-Accent4">
    <w:name w:val="Colorful List Accent 4"/>
    <w:basedOn w:val="TableNormal"/>
    <w:uiPriority w:val="72"/>
    <w:semiHidden/>
    <w:unhideWhenUsed/>
    <w:rsid w:val="009E6ED7"/>
    <w:rPr>
      <w:color w:val="000000" w:themeColor="text1"/>
    </w:rPr>
    <w:tblPr>
      <w:tblStyleRowBandSize w:val="1"/>
      <w:tblStyleColBandSize w:val="1"/>
    </w:tblPr>
    <w:tcPr>
      <w:shd w:val="clear" w:color="auto" w:fill="FFDCF7" w:themeFill="accent4" w:themeFillTint="19"/>
    </w:tcPr>
    <w:tblStylePr w:type="firstRow">
      <w:rPr>
        <w:b/>
        <w:bCs/>
        <w:color w:val="FFFFFF" w:themeColor="background1"/>
      </w:rPr>
      <w:tblPr/>
      <w:tcPr>
        <w:tcBorders>
          <w:bottom w:val="single" w:sz="12" w:space="0" w:color="FFFFFF" w:themeColor="background1"/>
        </w:tcBorders>
        <w:shd w:val="clear" w:color="auto" w:fill="D46F08" w:themeFill="accent3" w:themeFillShade="CC"/>
      </w:tcPr>
    </w:tblStylePr>
    <w:tblStylePr w:type="lastRow">
      <w:rPr>
        <w:b/>
        <w:bCs/>
        <w:color w:val="D46F08"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A8ED" w:themeFill="accent4" w:themeFillTint="3F"/>
      </w:tcPr>
    </w:tblStylePr>
    <w:tblStylePr w:type="band1Horz">
      <w:tblPr/>
      <w:tcPr>
        <w:shd w:val="clear" w:color="auto" w:fill="FFB8F0" w:themeFill="accent4" w:themeFillTint="33"/>
      </w:tcPr>
    </w:tblStylePr>
  </w:style>
  <w:style w:type="table" w:styleId="ColorfulList-Accent5">
    <w:name w:val="Colorful List Accent 5"/>
    <w:basedOn w:val="TableNormal"/>
    <w:uiPriority w:val="72"/>
    <w:semiHidden/>
    <w:unhideWhenUsed/>
    <w:rsid w:val="009E6ED7"/>
    <w:rPr>
      <w:color w:val="000000" w:themeColor="text1"/>
    </w:rPr>
    <w:tblPr>
      <w:tblStyleRowBandSize w:val="1"/>
      <w:tblStyleColBandSize w:val="1"/>
    </w:tblPr>
    <w:tcPr>
      <w:shd w:val="clear" w:color="auto" w:fill="FFFCE7" w:themeFill="accent5" w:themeFillTint="19"/>
    </w:tcPr>
    <w:tblStylePr w:type="firstRow">
      <w:rPr>
        <w:b/>
        <w:bCs/>
        <w:color w:val="FFFFFF" w:themeColor="background1"/>
      </w:rPr>
      <w:tblPr/>
      <w:tcPr>
        <w:tcBorders>
          <w:bottom w:val="single" w:sz="12" w:space="0" w:color="FFFFFF" w:themeColor="background1"/>
        </w:tcBorders>
        <w:shd w:val="clear" w:color="auto" w:fill="706760" w:themeFill="accent6" w:themeFillShade="CC"/>
      </w:tcPr>
    </w:tblStylePr>
    <w:tblStylePr w:type="lastRow">
      <w:rPr>
        <w:b/>
        <w:bCs/>
        <w:color w:val="706760"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8C4" w:themeFill="accent5" w:themeFillTint="3F"/>
      </w:tcPr>
    </w:tblStylePr>
    <w:tblStylePr w:type="band1Horz">
      <w:tblPr/>
      <w:tcPr>
        <w:shd w:val="clear" w:color="auto" w:fill="FFF9CF" w:themeFill="accent5" w:themeFillTint="33"/>
      </w:tcPr>
    </w:tblStylePr>
  </w:style>
  <w:style w:type="table" w:styleId="ColorfulList-Accent6">
    <w:name w:val="Colorful List Accent 6"/>
    <w:basedOn w:val="TableNormal"/>
    <w:uiPriority w:val="72"/>
    <w:semiHidden/>
    <w:unhideWhenUsed/>
    <w:rsid w:val="009E6ED7"/>
    <w:rPr>
      <w:color w:val="000000" w:themeColor="text1"/>
    </w:rPr>
    <w:tblPr>
      <w:tblStyleRowBandSize w:val="1"/>
      <w:tblStyleColBandSize w:val="1"/>
    </w:tblPr>
    <w:tcPr>
      <w:shd w:val="clear" w:color="auto" w:fill="F3F2F1" w:themeFill="accent6" w:themeFillTint="19"/>
    </w:tcPr>
    <w:tblStylePr w:type="firstRow">
      <w:rPr>
        <w:b/>
        <w:bCs/>
        <w:color w:val="FFFFFF" w:themeColor="background1"/>
      </w:rPr>
      <w:tblPr/>
      <w:tcPr>
        <w:tcBorders>
          <w:bottom w:val="single" w:sz="12" w:space="0" w:color="FFFFFF" w:themeColor="background1"/>
        </w:tcBorders>
        <w:shd w:val="clear" w:color="auto" w:fill="DAC200" w:themeFill="accent5" w:themeFillShade="CC"/>
      </w:tcPr>
    </w:tblStylePr>
    <w:tblStylePr w:type="lastRow">
      <w:rPr>
        <w:b/>
        <w:bCs/>
        <w:color w:val="DAC20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2E0DD" w:themeFill="accent6" w:themeFillTint="3F"/>
      </w:tcPr>
    </w:tblStylePr>
    <w:tblStylePr w:type="band1Horz">
      <w:tblPr/>
      <w:tcPr>
        <w:shd w:val="clear" w:color="auto" w:fill="E8E5E4" w:themeFill="accent6" w:themeFillTint="33"/>
      </w:tcPr>
    </w:tblStylePr>
  </w:style>
  <w:style w:type="table" w:styleId="ColorfulShading">
    <w:name w:val="Colorful Shading"/>
    <w:basedOn w:val="TableNormal"/>
    <w:uiPriority w:val="71"/>
    <w:semiHidden/>
    <w:unhideWhenUsed/>
    <w:rsid w:val="009E6ED7"/>
    <w:rPr>
      <w:color w:val="000000" w:themeColor="text1"/>
    </w:rPr>
    <w:tblPr>
      <w:tblStyleRowBandSize w:val="1"/>
      <w:tblStyleColBandSize w:val="1"/>
      <w:tblBorders>
        <w:top w:val="single" w:sz="24" w:space="0" w:color="84BD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84BD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9E6ED7"/>
    <w:rPr>
      <w:color w:val="000000" w:themeColor="text1"/>
    </w:rPr>
    <w:tblPr>
      <w:tblStyleRowBandSize w:val="1"/>
      <w:tblStyleColBandSize w:val="1"/>
      <w:tblBorders>
        <w:top w:val="single" w:sz="24" w:space="0" w:color="84BD00" w:themeColor="accent2"/>
        <w:left w:val="single" w:sz="4" w:space="0" w:color="00B5E2" w:themeColor="accent1"/>
        <w:bottom w:val="single" w:sz="4" w:space="0" w:color="00B5E2" w:themeColor="accent1"/>
        <w:right w:val="single" w:sz="4" w:space="0" w:color="00B5E2" w:themeColor="accent1"/>
        <w:insideH w:val="single" w:sz="4" w:space="0" w:color="FFFFFF" w:themeColor="background1"/>
        <w:insideV w:val="single" w:sz="4" w:space="0" w:color="FFFFFF" w:themeColor="background1"/>
      </w:tblBorders>
    </w:tblPr>
    <w:tcPr>
      <w:shd w:val="clear" w:color="auto" w:fill="E3F9FF" w:themeFill="accent1" w:themeFillTint="19"/>
    </w:tcPr>
    <w:tblStylePr w:type="firstRow">
      <w:rPr>
        <w:b/>
        <w:bCs/>
      </w:rPr>
      <w:tblPr/>
      <w:tcPr>
        <w:tcBorders>
          <w:top w:val="nil"/>
          <w:left w:val="nil"/>
          <w:bottom w:val="single" w:sz="24" w:space="0" w:color="84BD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C87" w:themeFill="accent1" w:themeFillShade="99"/>
      </w:tcPr>
    </w:tblStylePr>
    <w:tblStylePr w:type="firstCol">
      <w:rPr>
        <w:color w:val="FFFFFF" w:themeColor="background1"/>
      </w:rPr>
      <w:tblPr/>
      <w:tcPr>
        <w:tcBorders>
          <w:top w:val="nil"/>
          <w:left w:val="nil"/>
          <w:bottom w:val="nil"/>
          <w:right w:val="nil"/>
          <w:insideH w:val="single" w:sz="4" w:space="0" w:color="006C87" w:themeColor="accent1" w:themeShade="99"/>
          <w:insideV w:val="nil"/>
        </w:tcBorders>
        <w:shd w:val="clear" w:color="auto" w:fill="006C87"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6C87" w:themeFill="accent1" w:themeFillShade="99"/>
      </w:tcPr>
    </w:tblStylePr>
    <w:tblStylePr w:type="band1Vert">
      <w:tblPr/>
      <w:tcPr>
        <w:shd w:val="clear" w:color="auto" w:fill="8DE8FF" w:themeFill="accent1" w:themeFillTint="66"/>
      </w:tcPr>
    </w:tblStylePr>
    <w:tblStylePr w:type="band1Horz">
      <w:tblPr/>
      <w:tcPr>
        <w:shd w:val="clear" w:color="auto" w:fill="71E2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9E6ED7"/>
    <w:rPr>
      <w:color w:val="000000" w:themeColor="text1"/>
    </w:rPr>
    <w:tblPr>
      <w:tblStyleRowBandSize w:val="1"/>
      <w:tblStyleColBandSize w:val="1"/>
      <w:tblBorders>
        <w:top w:val="single" w:sz="24" w:space="0" w:color="84BD00" w:themeColor="accent2"/>
        <w:left w:val="single" w:sz="4" w:space="0" w:color="84BD00" w:themeColor="accent2"/>
        <w:bottom w:val="single" w:sz="4" w:space="0" w:color="84BD00" w:themeColor="accent2"/>
        <w:right w:val="single" w:sz="4" w:space="0" w:color="84BD00" w:themeColor="accent2"/>
        <w:insideH w:val="single" w:sz="4" w:space="0" w:color="FFFFFF" w:themeColor="background1"/>
        <w:insideV w:val="single" w:sz="4" w:space="0" w:color="FFFFFF" w:themeColor="background1"/>
      </w:tblBorders>
    </w:tblPr>
    <w:tcPr>
      <w:shd w:val="clear" w:color="auto" w:fill="F5FFDF" w:themeFill="accent2" w:themeFillTint="19"/>
    </w:tcPr>
    <w:tblStylePr w:type="firstRow">
      <w:rPr>
        <w:b/>
        <w:bCs/>
      </w:rPr>
      <w:tblPr/>
      <w:tcPr>
        <w:tcBorders>
          <w:top w:val="nil"/>
          <w:left w:val="nil"/>
          <w:bottom w:val="single" w:sz="24" w:space="0" w:color="84BD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F7100" w:themeFill="accent2" w:themeFillShade="99"/>
      </w:tcPr>
    </w:tblStylePr>
    <w:tblStylePr w:type="firstCol">
      <w:rPr>
        <w:color w:val="FFFFFF" w:themeColor="background1"/>
      </w:rPr>
      <w:tblPr/>
      <w:tcPr>
        <w:tcBorders>
          <w:top w:val="nil"/>
          <w:left w:val="nil"/>
          <w:bottom w:val="nil"/>
          <w:right w:val="nil"/>
          <w:insideH w:val="single" w:sz="4" w:space="0" w:color="4F7100" w:themeColor="accent2" w:themeShade="99"/>
          <w:insideV w:val="nil"/>
        </w:tcBorders>
        <w:shd w:val="clear" w:color="auto" w:fill="4F71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4F7100" w:themeFill="accent2" w:themeFillShade="99"/>
      </w:tcPr>
    </w:tblStylePr>
    <w:tblStylePr w:type="band1Vert">
      <w:tblPr/>
      <w:tcPr>
        <w:shd w:val="clear" w:color="auto" w:fill="D8FF7E" w:themeFill="accent2" w:themeFillTint="66"/>
      </w:tcPr>
    </w:tblStylePr>
    <w:tblStylePr w:type="band1Horz">
      <w:tblPr/>
      <w:tcPr>
        <w:shd w:val="clear" w:color="auto" w:fill="CEFF5F"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9E6ED7"/>
    <w:rPr>
      <w:color w:val="000000" w:themeColor="text1"/>
    </w:rPr>
    <w:tblPr>
      <w:tblStyleRowBandSize w:val="1"/>
      <w:tblStyleColBandSize w:val="1"/>
      <w:tblBorders>
        <w:top w:val="single" w:sz="24" w:space="0" w:color="9E007E" w:themeColor="accent4"/>
        <w:left w:val="single" w:sz="4" w:space="0" w:color="F68B1F" w:themeColor="accent3"/>
        <w:bottom w:val="single" w:sz="4" w:space="0" w:color="F68B1F" w:themeColor="accent3"/>
        <w:right w:val="single" w:sz="4" w:space="0" w:color="F68B1F" w:themeColor="accent3"/>
        <w:insideH w:val="single" w:sz="4" w:space="0" w:color="FFFFFF" w:themeColor="background1"/>
        <w:insideV w:val="single" w:sz="4" w:space="0" w:color="FFFFFF" w:themeColor="background1"/>
      </w:tblBorders>
    </w:tblPr>
    <w:tcPr>
      <w:shd w:val="clear" w:color="auto" w:fill="FEF3E8" w:themeFill="accent3" w:themeFillTint="19"/>
    </w:tcPr>
    <w:tblStylePr w:type="firstRow">
      <w:rPr>
        <w:b/>
        <w:bCs/>
      </w:rPr>
      <w:tblPr/>
      <w:tcPr>
        <w:tcBorders>
          <w:top w:val="nil"/>
          <w:left w:val="nil"/>
          <w:bottom w:val="single" w:sz="24" w:space="0" w:color="9E007E"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F5306" w:themeFill="accent3" w:themeFillShade="99"/>
      </w:tcPr>
    </w:tblStylePr>
    <w:tblStylePr w:type="firstCol">
      <w:rPr>
        <w:color w:val="FFFFFF" w:themeColor="background1"/>
      </w:rPr>
      <w:tblPr/>
      <w:tcPr>
        <w:tcBorders>
          <w:top w:val="nil"/>
          <w:left w:val="nil"/>
          <w:bottom w:val="nil"/>
          <w:right w:val="nil"/>
          <w:insideH w:val="single" w:sz="4" w:space="0" w:color="9F5306" w:themeColor="accent3" w:themeShade="99"/>
          <w:insideV w:val="nil"/>
        </w:tcBorders>
        <w:shd w:val="clear" w:color="auto" w:fill="9F5306"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9F5306" w:themeFill="accent3" w:themeFillShade="99"/>
      </w:tcPr>
    </w:tblStylePr>
    <w:tblStylePr w:type="band1Vert">
      <w:tblPr/>
      <w:tcPr>
        <w:shd w:val="clear" w:color="auto" w:fill="FBD0A5" w:themeFill="accent3" w:themeFillTint="66"/>
      </w:tcPr>
    </w:tblStylePr>
    <w:tblStylePr w:type="band1Horz">
      <w:tblPr/>
      <w:tcPr>
        <w:shd w:val="clear" w:color="auto" w:fill="FAC58F" w:themeFill="accent3" w:themeFillTint="7F"/>
      </w:tcPr>
    </w:tblStylePr>
  </w:style>
  <w:style w:type="table" w:styleId="ColorfulShading-Accent4">
    <w:name w:val="Colorful Shading Accent 4"/>
    <w:basedOn w:val="TableNormal"/>
    <w:uiPriority w:val="71"/>
    <w:semiHidden/>
    <w:unhideWhenUsed/>
    <w:rsid w:val="009E6ED7"/>
    <w:rPr>
      <w:color w:val="000000" w:themeColor="text1"/>
    </w:rPr>
    <w:tblPr>
      <w:tblStyleRowBandSize w:val="1"/>
      <w:tblStyleColBandSize w:val="1"/>
      <w:tblBorders>
        <w:top w:val="single" w:sz="24" w:space="0" w:color="F68B1F" w:themeColor="accent3"/>
        <w:left w:val="single" w:sz="4" w:space="0" w:color="9E007E" w:themeColor="accent4"/>
        <w:bottom w:val="single" w:sz="4" w:space="0" w:color="9E007E" w:themeColor="accent4"/>
        <w:right w:val="single" w:sz="4" w:space="0" w:color="9E007E" w:themeColor="accent4"/>
        <w:insideH w:val="single" w:sz="4" w:space="0" w:color="FFFFFF" w:themeColor="background1"/>
        <w:insideV w:val="single" w:sz="4" w:space="0" w:color="FFFFFF" w:themeColor="background1"/>
      </w:tblBorders>
    </w:tblPr>
    <w:tcPr>
      <w:shd w:val="clear" w:color="auto" w:fill="FFDCF7" w:themeFill="accent4" w:themeFillTint="19"/>
    </w:tcPr>
    <w:tblStylePr w:type="firstRow">
      <w:rPr>
        <w:b/>
        <w:bCs/>
      </w:rPr>
      <w:tblPr/>
      <w:tcPr>
        <w:tcBorders>
          <w:top w:val="nil"/>
          <w:left w:val="nil"/>
          <w:bottom w:val="single" w:sz="24" w:space="0" w:color="F68B1F"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004B" w:themeFill="accent4" w:themeFillShade="99"/>
      </w:tcPr>
    </w:tblStylePr>
    <w:tblStylePr w:type="firstCol">
      <w:rPr>
        <w:color w:val="FFFFFF" w:themeColor="background1"/>
      </w:rPr>
      <w:tblPr/>
      <w:tcPr>
        <w:tcBorders>
          <w:top w:val="nil"/>
          <w:left w:val="nil"/>
          <w:bottom w:val="nil"/>
          <w:right w:val="nil"/>
          <w:insideH w:val="single" w:sz="4" w:space="0" w:color="5E004B" w:themeColor="accent4" w:themeShade="99"/>
          <w:insideV w:val="nil"/>
        </w:tcBorders>
        <w:shd w:val="clear" w:color="auto" w:fill="5E004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E004B" w:themeFill="accent4" w:themeFillShade="99"/>
      </w:tcPr>
    </w:tblStylePr>
    <w:tblStylePr w:type="band1Vert">
      <w:tblPr/>
      <w:tcPr>
        <w:shd w:val="clear" w:color="auto" w:fill="FF72E2" w:themeFill="accent4" w:themeFillTint="66"/>
      </w:tcPr>
    </w:tblStylePr>
    <w:tblStylePr w:type="band1Horz">
      <w:tblPr/>
      <w:tcPr>
        <w:shd w:val="clear" w:color="auto" w:fill="FF4FDB"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9E6ED7"/>
    <w:rPr>
      <w:color w:val="000000" w:themeColor="text1"/>
    </w:rPr>
    <w:tblPr>
      <w:tblStyleRowBandSize w:val="1"/>
      <w:tblStyleColBandSize w:val="1"/>
      <w:tblBorders>
        <w:top w:val="single" w:sz="24" w:space="0" w:color="8C8279" w:themeColor="accent6"/>
        <w:left w:val="single" w:sz="4" w:space="0" w:color="FFE512" w:themeColor="accent5"/>
        <w:bottom w:val="single" w:sz="4" w:space="0" w:color="FFE512" w:themeColor="accent5"/>
        <w:right w:val="single" w:sz="4" w:space="0" w:color="FFE512" w:themeColor="accent5"/>
        <w:insideH w:val="single" w:sz="4" w:space="0" w:color="FFFFFF" w:themeColor="background1"/>
        <w:insideV w:val="single" w:sz="4" w:space="0" w:color="FFFFFF" w:themeColor="background1"/>
      </w:tblBorders>
    </w:tblPr>
    <w:tcPr>
      <w:shd w:val="clear" w:color="auto" w:fill="FFFCE7" w:themeFill="accent5" w:themeFillTint="19"/>
    </w:tcPr>
    <w:tblStylePr w:type="firstRow">
      <w:rPr>
        <w:b/>
        <w:bCs/>
      </w:rPr>
      <w:tblPr/>
      <w:tcPr>
        <w:tcBorders>
          <w:top w:val="nil"/>
          <w:left w:val="nil"/>
          <w:bottom w:val="single" w:sz="24" w:space="0" w:color="8C8279"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39100" w:themeFill="accent5" w:themeFillShade="99"/>
      </w:tcPr>
    </w:tblStylePr>
    <w:tblStylePr w:type="firstCol">
      <w:rPr>
        <w:color w:val="FFFFFF" w:themeColor="background1"/>
      </w:rPr>
      <w:tblPr/>
      <w:tcPr>
        <w:tcBorders>
          <w:top w:val="nil"/>
          <w:left w:val="nil"/>
          <w:bottom w:val="nil"/>
          <w:right w:val="nil"/>
          <w:insideH w:val="single" w:sz="4" w:space="0" w:color="A39100" w:themeColor="accent5" w:themeShade="99"/>
          <w:insideV w:val="nil"/>
        </w:tcBorders>
        <w:shd w:val="clear" w:color="auto" w:fill="A391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A39100" w:themeFill="accent5" w:themeFillShade="99"/>
      </w:tcPr>
    </w:tblStylePr>
    <w:tblStylePr w:type="band1Vert">
      <w:tblPr/>
      <w:tcPr>
        <w:shd w:val="clear" w:color="auto" w:fill="FFF4A0" w:themeFill="accent5" w:themeFillTint="66"/>
      </w:tcPr>
    </w:tblStylePr>
    <w:tblStylePr w:type="band1Horz">
      <w:tblPr/>
      <w:tcPr>
        <w:shd w:val="clear" w:color="auto" w:fill="FFF288"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9E6ED7"/>
    <w:rPr>
      <w:color w:val="000000" w:themeColor="text1"/>
    </w:rPr>
    <w:tblPr>
      <w:tblStyleRowBandSize w:val="1"/>
      <w:tblStyleColBandSize w:val="1"/>
      <w:tblBorders>
        <w:top w:val="single" w:sz="24" w:space="0" w:color="FFE512" w:themeColor="accent5"/>
        <w:left w:val="single" w:sz="4" w:space="0" w:color="8C8279" w:themeColor="accent6"/>
        <w:bottom w:val="single" w:sz="4" w:space="0" w:color="8C8279" w:themeColor="accent6"/>
        <w:right w:val="single" w:sz="4" w:space="0" w:color="8C8279" w:themeColor="accent6"/>
        <w:insideH w:val="single" w:sz="4" w:space="0" w:color="FFFFFF" w:themeColor="background1"/>
        <w:insideV w:val="single" w:sz="4" w:space="0" w:color="FFFFFF" w:themeColor="background1"/>
      </w:tblBorders>
    </w:tblPr>
    <w:tcPr>
      <w:shd w:val="clear" w:color="auto" w:fill="F3F2F1" w:themeFill="accent6" w:themeFillTint="19"/>
    </w:tcPr>
    <w:tblStylePr w:type="firstRow">
      <w:rPr>
        <w:b/>
        <w:bCs/>
      </w:rPr>
      <w:tblPr/>
      <w:tcPr>
        <w:tcBorders>
          <w:top w:val="nil"/>
          <w:left w:val="nil"/>
          <w:bottom w:val="single" w:sz="24" w:space="0" w:color="FFE512"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44D48" w:themeFill="accent6" w:themeFillShade="99"/>
      </w:tcPr>
    </w:tblStylePr>
    <w:tblStylePr w:type="firstCol">
      <w:rPr>
        <w:color w:val="FFFFFF" w:themeColor="background1"/>
      </w:rPr>
      <w:tblPr/>
      <w:tcPr>
        <w:tcBorders>
          <w:top w:val="nil"/>
          <w:left w:val="nil"/>
          <w:bottom w:val="nil"/>
          <w:right w:val="nil"/>
          <w:insideH w:val="single" w:sz="4" w:space="0" w:color="544D48" w:themeColor="accent6" w:themeShade="99"/>
          <w:insideV w:val="nil"/>
        </w:tcBorders>
        <w:shd w:val="clear" w:color="auto" w:fill="544D4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544D48" w:themeFill="accent6" w:themeFillShade="99"/>
      </w:tcPr>
    </w:tblStylePr>
    <w:tblStylePr w:type="band1Vert">
      <w:tblPr/>
      <w:tcPr>
        <w:shd w:val="clear" w:color="auto" w:fill="D1CCC9" w:themeFill="accent6" w:themeFillTint="66"/>
      </w:tcPr>
    </w:tblStylePr>
    <w:tblStylePr w:type="band1Horz">
      <w:tblPr/>
      <w:tcPr>
        <w:shd w:val="clear" w:color="auto" w:fill="C5C0BC"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9E6ED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9E6ED7"/>
    <w:rPr>
      <w:color w:val="FFFFFF" w:themeColor="background1"/>
    </w:rPr>
    <w:tblPr>
      <w:tblStyleRowBandSize w:val="1"/>
      <w:tblStyleColBandSize w:val="1"/>
    </w:tblPr>
    <w:tcPr>
      <w:shd w:val="clear" w:color="auto" w:fill="00B5E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597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87A9"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87A9" w:themeFill="accent1" w:themeFillShade="BF"/>
      </w:tcPr>
    </w:tblStylePr>
    <w:tblStylePr w:type="band1Vert">
      <w:tblPr/>
      <w:tcPr>
        <w:tcBorders>
          <w:top w:val="nil"/>
          <w:left w:val="nil"/>
          <w:bottom w:val="nil"/>
          <w:right w:val="nil"/>
          <w:insideH w:val="nil"/>
          <w:insideV w:val="nil"/>
        </w:tcBorders>
        <w:shd w:val="clear" w:color="auto" w:fill="0087A9" w:themeFill="accent1" w:themeFillShade="BF"/>
      </w:tcPr>
    </w:tblStylePr>
    <w:tblStylePr w:type="band1Horz">
      <w:tblPr/>
      <w:tcPr>
        <w:tcBorders>
          <w:top w:val="nil"/>
          <w:left w:val="nil"/>
          <w:bottom w:val="nil"/>
          <w:right w:val="nil"/>
          <w:insideH w:val="nil"/>
          <w:insideV w:val="nil"/>
        </w:tcBorders>
        <w:shd w:val="clear" w:color="auto" w:fill="0087A9" w:themeFill="accent1" w:themeFillShade="BF"/>
      </w:tcPr>
    </w:tblStylePr>
  </w:style>
  <w:style w:type="table" w:styleId="DarkList-Accent2">
    <w:name w:val="Dark List Accent 2"/>
    <w:basedOn w:val="TableNormal"/>
    <w:uiPriority w:val="70"/>
    <w:semiHidden/>
    <w:unhideWhenUsed/>
    <w:rsid w:val="009E6ED7"/>
    <w:rPr>
      <w:color w:val="FFFFFF" w:themeColor="background1"/>
    </w:rPr>
    <w:tblPr>
      <w:tblStyleRowBandSize w:val="1"/>
      <w:tblStyleColBandSize w:val="1"/>
    </w:tblPr>
    <w:tcPr>
      <w:shd w:val="clear" w:color="auto" w:fill="84BD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15E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628D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628D00" w:themeFill="accent2" w:themeFillShade="BF"/>
      </w:tcPr>
    </w:tblStylePr>
    <w:tblStylePr w:type="band1Vert">
      <w:tblPr/>
      <w:tcPr>
        <w:tcBorders>
          <w:top w:val="nil"/>
          <w:left w:val="nil"/>
          <w:bottom w:val="nil"/>
          <w:right w:val="nil"/>
          <w:insideH w:val="nil"/>
          <w:insideV w:val="nil"/>
        </w:tcBorders>
        <w:shd w:val="clear" w:color="auto" w:fill="628D00" w:themeFill="accent2" w:themeFillShade="BF"/>
      </w:tcPr>
    </w:tblStylePr>
    <w:tblStylePr w:type="band1Horz">
      <w:tblPr/>
      <w:tcPr>
        <w:tcBorders>
          <w:top w:val="nil"/>
          <w:left w:val="nil"/>
          <w:bottom w:val="nil"/>
          <w:right w:val="nil"/>
          <w:insideH w:val="nil"/>
          <w:insideV w:val="nil"/>
        </w:tcBorders>
        <w:shd w:val="clear" w:color="auto" w:fill="628D00" w:themeFill="accent2" w:themeFillShade="BF"/>
      </w:tcPr>
    </w:tblStylePr>
  </w:style>
  <w:style w:type="table" w:styleId="DarkList-Accent3">
    <w:name w:val="Dark List Accent 3"/>
    <w:basedOn w:val="TableNormal"/>
    <w:uiPriority w:val="70"/>
    <w:semiHidden/>
    <w:unhideWhenUsed/>
    <w:rsid w:val="009E6ED7"/>
    <w:rPr>
      <w:color w:val="FFFFFF" w:themeColor="background1"/>
    </w:rPr>
    <w:tblPr>
      <w:tblStyleRowBandSize w:val="1"/>
      <w:tblStyleColBandSize w:val="1"/>
    </w:tblPr>
    <w:tcPr>
      <w:shd w:val="clear" w:color="auto" w:fill="F68B1F"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44505"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C76808"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C76808" w:themeFill="accent3" w:themeFillShade="BF"/>
      </w:tcPr>
    </w:tblStylePr>
    <w:tblStylePr w:type="band1Vert">
      <w:tblPr/>
      <w:tcPr>
        <w:tcBorders>
          <w:top w:val="nil"/>
          <w:left w:val="nil"/>
          <w:bottom w:val="nil"/>
          <w:right w:val="nil"/>
          <w:insideH w:val="nil"/>
          <w:insideV w:val="nil"/>
        </w:tcBorders>
        <w:shd w:val="clear" w:color="auto" w:fill="C76808" w:themeFill="accent3" w:themeFillShade="BF"/>
      </w:tcPr>
    </w:tblStylePr>
    <w:tblStylePr w:type="band1Horz">
      <w:tblPr/>
      <w:tcPr>
        <w:tcBorders>
          <w:top w:val="nil"/>
          <w:left w:val="nil"/>
          <w:bottom w:val="nil"/>
          <w:right w:val="nil"/>
          <w:insideH w:val="nil"/>
          <w:insideV w:val="nil"/>
        </w:tcBorders>
        <w:shd w:val="clear" w:color="auto" w:fill="C76808" w:themeFill="accent3" w:themeFillShade="BF"/>
      </w:tcPr>
    </w:tblStylePr>
  </w:style>
  <w:style w:type="table" w:styleId="DarkList-Accent4">
    <w:name w:val="Dark List Accent 4"/>
    <w:basedOn w:val="TableNormal"/>
    <w:uiPriority w:val="70"/>
    <w:semiHidden/>
    <w:unhideWhenUsed/>
    <w:rsid w:val="009E6ED7"/>
    <w:rPr>
      <w:color w:val="FFFFFF" w:themeColor="background1"/>
    </w:rPr>
    <w:tblPr>
      <w:tblStyleRowBandSize w:val="1"/>
      <w:tblStyleColBandSize w:val="1"/>
    </w:tblPr>
    <w:tcPr>
      <w:shd w:val="clear" w:color="auto" w:fill="9E007E"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003E"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6005E"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6005E" w:themeFill="accent4" w:themeFillShade="BF"/>
      </w:tcPr>
    </w:tblStylePr>
    <w:tblStylePr w:type="band1Vert">
      <w:tblPr/>
      <w:tcPr>
        <w:tcBorders>
          <w:top w:val="nil"/>
          <w:left w:val="nil"/>
          <w:bottom w:val="nil"/>
          <w:right w:val="nil"/>
          <w:insideH w:val="nil"/>
          <w:insideV w:val="nil"/>
        </w:tcBorders>
        <w:shd w:val="clear" w:color="auto" w:fill="76005E" w:themeFill="accent4" w:themeFillShade="BF"/>
      </w:tcPr>
    </w:tblStylePr>
    <w:tblStylePr w:type="band1Horz">
      <w:tblPr/>
      <w:tcPr>
        <w:tcBorders>
          <w:top w:val="nil"/>
          <w:left w:val="nil"/>
          <w:bottom w:val="nil"/>
          <w:right w:val="nil"/>
          <w:insideH w:val="nil"/>
          <w:insideV w:val="nil"/>
        </w:tcBorders>
        <w:shd w:val="clear" w:color="auto" w:fill="76005E" w:themeFill="accent4" w:themeFillShade="BF"/>
      </w:tcPr>
    </w:tblStylePr>
  </w:style>
  <w:style w:type="table" w:styleId="DarkList-Accent5">
    <w:name w:val="Dark List Accent 5"/>
    <w:basedOn w:val="TableNormal"/>
    <w:uiPriority w:val="70"/>
    <w:semiHidden/>
    <w:unhideWhenUsed/>
    <w:rsid w:val="009E6ED7"/>
    <w:rPr>
      <w:color w:val="FFFFFF" w:themeColor="background1"/>
    </w:rPr>
    <w:tblPr>
      <w:tblStyleRowBandSize w:val="1"/>
      <w:tblStyleColBandSize w:val="1"/>
    </w:tblPr>
    <w:tcPr>
      <w:shd w:val="clear" w:color="auto" w:fill="FFE512"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778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CCB50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CCB500" w:themeFill="accent5" w:themeFillShade="BF"/>
      </w:tcPr>
    </w:tblStylePr>
    <w:tblStylePr w:type="band1Vert">
      <w:tblPr/>
      <w:tcPr>
        <w:tcBorders>
          <w:top w:val="nil"/>
          <w:left w:val="nil"/>
          <w:bottom w:val="nil"/>
          <w:right w:val="nil"/>
          <w:insideH w:val="nil"/>
          <w:insideV w:val="nil"/>
        </w:tcBorders>
        <w:shd w:val="clear" w:color="auto" w:fill="CCB500" w:themeFill="accent5" w:themeFillShade="BF"/>
      </w:tcPr>
    </w:tblStylePr>
    <w:tblStylePr w:type="band1Horz">
      <w:tblPr/>
      <w:tcPr>
        <w:tcBorders>
          <w:top w:val="nil"/>
          <w:left w:val="nil"/>
          <w:bottom w:val="nil"/>
          <w:right w:val="nil"/>
          <w:insideH w:val="nil"/>
          <w:insideV w:val="nil"/>
        </w:tcBorders>
        <w:shd w:val="clear" w:color="auto" w:fill="CCB500" w:themeFill="accent5" w:themeFillShade="BF"/>
      </w:tcPr>
    </w:tblStylePr>
  </w:style>
  <w:style w:type="table" w:styleId="DarkList-Accent6">
    <w:name w:val="Dark List Accent 6"/>
    <w:basedOn w:val="TableNormal"/>
    <w:uiPriority w:val="70"/>
    <w:semiHidden/>
    <w:unhideWhenUsed/>
    <w:rsid w:val="009E6ED7"/>
    <w:rPr>
      <w:color w:val="FFFFFF" w:themeColor="background1"/>
    </w:rPr>
    <w:tblPr>
      <w:tblStyleRowBandSize w:val="1"/>
      <w:tblStyleColBandSize w:val="1"/>
    </w:tblPr>
    <w:tcPr>
      <w:shd w:val="clear" w:color="auto" w:fill="8C8279"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5403C"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9615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9615A" w:themeFill="accent6" w:themeFillShade="BF"/>
      </w:tcPr>
    </w:tblStylePr>
    <w:tblStylePr w:type="band1Vert">
      <w:tblPr/>
      <w:tcPr>
        <w:tcBorders>
          <w:top w:val="nil"/>
          <w:left w:val="nil"/>
          <w:bottom w:val="nil"/>
          <w:right w:val="nil"/>
          <w:insideH w:val="nil"/>
          <w:insideV w:val="nil"/>
        </w:tcBorders>
        <w:shd w:val="clear" w:color="auto" w:fill="69615A" w:themeFill="accent6" w:themeFillShade="BF"/>
      </w:tcPr>
    </w:tblStylePr>
    <w:tblStylePr w:type="band1Horz">
      <w:tblPr/>
      <w:tcPr>
        <w:tcBorders>
          <w:top w:val="nil"/>
          <w:left w:val="nil"/>
          <w:bottom w:val="nil"/>
          <w:right w:val="nil"/>
          <w:insideH w:val="nil"/>
          <w:insideV w:val="nil"/>
        </w:tcBorders>
        <w:shd w:val="clear" w:color="auto" w:fill="69615A" w:themeFill="accent6" w:themeFillShade="BF"/>
      </w:tcPr>
    </w:tblStylePr>
  </w:style>
  <w:style w:type="table" w:styleId="LightGrid">
    <w:name w:val="Light Grid"/>
    <w:basedOn w:val="TableNormal"/>
    <w:uiPriority w:val="62"/>
    <w:semiHidden/>
    <w:unhideWhenUsed/>
    <w:rsid w:val="009E6ED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9E6ED7"/>
    <w:tblPr>
      <w:tblStyleRowBandSize w:val="1"/>
      <w:tblStyleColBandSize w:val="1"/>
      <w:tblBorders>
        <w:top w:val="single" w:sz="8" w:space="0" w:color="00B5E2" w:themeColor="accent1"/>
        <w:left w:val="single" w:sz="8" w:space="0" w:color="00B5E2" w:themeColor="accent1"/>
        <w:bottom w:val="single" w:sz="8" w:space="0" w:color="00B5E2" w:themeColor="accent1"/>
        <w:right w:val="single" w:sz="8" w:space="0" w:color="00B5E2" w:themeColor="accent1"/>
        <w:insideH w:val="single" w:sz="8" w:space="0" w:color="00B5E2" w:themeColor="accent1"/>
        <w:insideV w:val="single" w:sz="8" w:space="0" w:color="00B5E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5E2" w:themeColor="accent1"/>
          <w:left w:val="single" w:sz="8" w:space="0" w:color="00B5E2" w:themeColor="accent1"/>
          <w:bottom w:val="single" w:sz="18" w:space="0" w:color="00B5E2" w:themeColor="accent1"/>
          <w:right w:val="single" w:sz="8" w:space="0" w:color="00B5E2" w:themeColor="accent1"/>
          <w:insideH w:val="nil"/>
          <w:insideV w:val="single" w:sz="8" w:space="0" w:color="00B5E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5E2" w:themeColor="accent1"/>
          <w:left w:val="single" w:sz="8" w:space="0" w:color="00B5E2" w:themeColor="accent1"/>
          <w:bottom w:val="single" w:sz="8" w:space="0" w:color="00B5E2" w:themeColor="accent1"/>
          <w:right w:val="single" w:sz="8" w:space="0" w:color="00B5E2" w:themeColor="accent1"/>
          <w:insideH w:val="nil"/>
          <w:insideV w:val="single" w:sz="8" w:space="0" w:color="00B5E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5E2" w:themeColor="accent1"/>
          <w:left w:val="single" w:sz="8" w:space="0" w:color="00B5E2" w:themeColor="accent1"/>
          <w:bottom w:val="single" w:sz="8" w:space="0" w:color="00B5E2" w:themeColor="accent1"/>
          <w:right w:val="single" w:sz="8" w:space="0" w:color="00B5E2" w:themeColor="accent1"/>
        </w:tcBorders>
      </w:tcPr>
    </w:tblStylePr>
    <w:tblStylePr w:type="band1Vert">
      <w:tblPr/>
      <w:tcPr>
        <w:tcBorders>
          <w:top w:val="single" w:sz="8" w:space="0" w:color="00B5E2" w:themeColor="accent1"/>
          <w:left w:val="single" w:sz="8" w:space="0" w:color="00B5E2" w:themeColor="accent1"/>
          <w:bottom w:val="single" w:sz="8" w:space="0" w:color="00B5E2" w:themeColor="accent1"/>
          <w:right w:val="single" w:sz="8" w:space="0" w:color="00B5E2" w:themeColor="accent1"/>
        </w:tcBorders>
        <w:shd w:val="clear" w:color="auto" w:fill="B8F0FF" w:themeFill="accent1" w:themeFillTint="3F"/>
      </w:tcPr>
    </w:tblStylePr>
    <w:tblStylePr w:type="band1Horz">
      <w:tblPr/>
      <w:tcPr>
        <w:tcBorders>
          <w:top w:val="single" w:sz="8" w:space="0" w:color="00B5E2" w:themeColor="accent1"/>
          <w:left w:val="single" w:sz="8" w:space="0" w:color="00B5E2" w:themeColor="accent1"/>
          <w:bottom w:val="single" w:sz="8" w:space="0" w:color="00B5E2" w:themeColor="accent1"/>
          <w:right w:val="single" w:sz="8" w:space="0" w:color="00B5E2" w:themeColor="accent1"/>
          <w:insideV w:val="single" w:sz="8" w:space="0" w:color="00B5E2" w:themeColor="accent1"/>
        </w:tcBorders>
        <w:shd w:val="clear" w:color="auto" w:fill="B8F0FF" w:themeFill="accent1" w:themeFillTint="3F"/>
      </w:tcPr>
    </w:tblStylePr>
    <w:tblStylePr w:type="band2Horz">
      <w:tblPr/>
      <w:tcPr>
        <w:tcBorders>
          <w:top w:val="single" w:sz="8" w:space="0" w:color="00B5E2" w:themeColor="accent1"/>
          <w:left w:val="single" w:sz="8" w:space="0" w:color="00B5E2" w:themeColor="accent1"/>
          <w:bottom w:val="single" w:sz="8" w:space="0" w:color="00B5E2" w:themeColor="accent1"/>
          <w:right w:val="single" w:sz="8" w:space="0" w:color="00B5E2" w:themeColor="accent1"/>
          <w:insideV w:val="single" w:sz="8" w:space="0" w:color="00B5E2" w:themeColor="accent1"/>
        </w:tcBorders>
      </w:tcPr>
    </w:tblStylePr>
  </w:style>
  <w:style w:type="table" w:styleId="LightGrid-Accent2">
    <w:name w:val="Light Grid Accent 2"/>
    <w:basedOn w:val="TableNormal"/>
    <w:uiPriority w:val="62"/>
    <w:semiHidden/>
    <w:unhideWhenUsed/>
    <w:rsid w:val="009E6ED7"/>
    <w:tblPr>
      <w:tblStyleRowBandSize w:val="1"/>
      <w:tblStyleColBandSize w:val="1"/>
      <w:tblBorders>
        <w:top w:val="single" w:sz="8" w:space="0" w:color="84BD00" w:themeColor="accent2"/>
        <w:left w:val="single" w:sz="8" w:space="0" w:color="84BD00" w:themeColor="accent2"/>
        <w:bottom w:val="single" w:sz="8" w:space="0" w:color="84BD00" w:themeColor="accent2"/>
        <w:right w:val="single" w:sz="8" w:space="0" w:color="84BD00" w:themeColor="accent2"/>
        <w:insideH w:val="single" w:sz="8" w:space="0" w:color="84BD00" w:themeColor="accent2"/>
        <w:insideV w:val="single" w:sz="8" w:space="0" w:color="84BD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4BD00" w:themeColor="accent2"/>
          <w:left w:val="single" w:sz="8" w:space="0" w:color="84BD00" w:themeColor="accent2"/>
          <w:bottom w:val="single" w:sz="18" w:space="0" w:color="84BD00" w:themeColor="accent2"/>
          <w:right w:val="single" w:sz="8" w:space="0" w:color="84BD00" w:themeColor="accent2"/>
          <w:insideH w:val="nil"/>
          <w:insideV w:val="single" w:sz="8" w:space="0" w:color="84BD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4BD00" w:themeColor="accent2"/>
          <w:left w:val="single" w:sz="8" w:space="0" w:color="84BD00" w:themeColor="accent2"/>
          <w:bottom w:val="single" w:sz="8" w:space="0" w:color="84BD00" w:themeColor="accent2"/>
          <w:right w:val="single" w:sz="8" w:space="0" w:color="84BD00" w:themeColor="accent2"/>
          <w:insideH w:val="nil"/>
          <w:insideV w:val="single" w:sz="8" w:space="0" w:color="84BD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4BD00" w:themeColor="accent2"/>
          <w:left w:val="single" w:sz="8" w:space="0" w:color="84BD00" w:themeColor="accent2"/>
          <w:bottom w:val="single" w:sz="8" w:space="0" w:color="84BD00" w:themeColor="accent2"/>
          <w:right w:val="single" w:sz="8" w:space="0" w:color="84BD00" w:themeColor="accent2"/>
        </w:tcBorders>
      </w:tcPr>
    </w:tblStylePr>
    <w:tblStylePr w:type="band1Vert">
      <w:tblPr/>
      <w:tcPr>
        <w:tcBorders>
          <w:top w:val="single" w:sz="8" w:space="0" w:color="84BD00" w:themeColor="accent2"/>
          <w:left w:val="single" w:sz="8" w:space="0" w:color="84BD00" w:themeColor="accent2"/>
          <w:bottom w:val="single" w:sz="8" w:space="0" w:color="84BD00" w:themeColor="accent2"/>
          <w:right w:val="single" w:sz="8" w:space="0" w:color="84BD00" w:themeColor="accent2"/>
        </w:tcBorders>
        <w:shd w:val="clear" w:color="auto" w:fill="E7FFAF" w:themeFill="accent2" w:themeFillTint="3F"/>
      </w:tcPr>
    </w:tblStylePr>
    <w:tblStylePr w:type="band1Horz">
      <w:tblPr/>
      <w:tcPr>
        <w:tcBorders>
          <w:top w:val="single" w:sz="8" w:space="0" w:color="84BD00" w:themeColor="accent2"/>
          <w:left w:val="single" w:sz="8" w:space="0" w:color="84BD00" w:themeColor="accent2"/>
          <w:bottom w:val="single" w:sz="8" w:space="0" w:color="84BD00" w:themeColor="accent2"/>
          <w:right w:val="single" w:sz="8" w:space="0" w:color="84BD00" w:themeColor="accent2"/>
          <w:insideV w:val="single" w:sz="8" w:space="0" w:color="84BD00" w:themeColor="accent2"/>
        </w:tcBorders>
        <w:shd w:val="clear" w:color="auto" w:fill="E7FFAF" w:themeFill="accent2" w:themeFillTint="3F"/>
      </w:tcPr>
    </w:tblStylePr>
    <w:tblStylePr w:type="band2Horz">
      <w:tblPr/>
      <w:tcPr>
        <w:tcBorders>
          <w:top w:val="single" w:sz="8" w:space="0" w:color="84BD00" w:themeColor="accent2"/>
          <w:left w:val="single" w:sz="8" w:space="0" w:color="84BD00" w:themeColor="accent2"/>
          <w:bottom w:val="single" w:sz="8" w:space="0" w:color="84BD00" w:themeColor="accent2"/>
          <w:right w:val="single" w:sz="8" w:space="0" w:color="84BD00" w:themeColor="accent2"/>
          <w:insideV w:val="single" w:sz="8" w:space="0" w:color="84BD00" w:themeColor="accent2"/>
        </w:tcBorders>
      </w:tcPr>
    </w:tblStylePr>
  </w:style>
  <w:style w:type="table" w:styleId="LightGrid-Accent3">
    <w:name w:val="Light Grid Accent 3"/>
    <w:basedOn w:val="TableNormal"/>
    <w:uiPriority w:val="62"/>
    <w:semiHidden/>
    <w:unhideWhenUsed/>
    <w:rsid w:val="009E6ED7"/>
    <w:tblPr>
      <w:tblStyleRowBandSize w:val="1"/>
      <w:tblStyleColBandSize w:val="1"/>
      <w:tblBorders>
        <w:top w:val="single" w:sz="8" w:space="0" w:color="F68B1F" w:themeColor="accent3"/>
        <w:left w:val="single" w:sz="8" w:space="0" w:color="F68B1F" w:themeColor="accent3"/>
        <w:bottom w:val="single" w:sz="8" w:space="0" w:color="F68B1F" w:themeColor="accent3"/>
        <w:right w:val="single" w:sz="8" w:space="0" w:color="F68B1F" w:themeColor="accent3"/>
        <w:insideH w:val="single" w:sz="8" w:space="0" w:color="F68B1F" w:themeColor="accent3"/>
        <w:insideV w:val="single" w:sz="8" w:space="0" w:color="F68B1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68B1F" w:themeColor="accent3"/>
          <w:left w:val="single" w:sz="8" w:space="0" w:color="F68B1F" w:themeColor="accent3"/>
          <w:bottom w:val="single" w:sz="18" w:space="0" w:color="F68B1F" w:themeColor="accent3"/>
          <w:right w:val="single" w:sz="8" w:space="0" w:color="F68B1F" w:themeColor="accent3"/>
          <w:insideH w:val="nil"/>
          <w:insideV w:val="single" w:sz="8" w:space="0" w:color="F68B1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68B1F" w:themeColor="accent3"/>
          <w:left w:val="single" w:sz="8" w:space="0" w:color="F68B1F" w:themeColor="accent3"/>
          <w:bottom w:val="single" w:sz="8" w:space="0" w:color="F68B1F" w:themeColor="accent3"/>
          <w:right w:val="single" w:sz="8" w:space="0" w:color="F68B1F" w:themeColor="accent3"/>
          <w:insideH w:val="nil"/>
          <w:insideV w:val="single" w:sz="8" w:space="0" w:color="F68B1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68B1F" w:themeColor="accent3"/>
          <w:left w:val="single" w:sz="8" w:space="0" w:color="F68B1F" w:themeColor="accent3"/>
          <w:bottom w:val="single" w:sz="8" w:space="0" w:color="F68B1F" w:themeColor="accent3"/>
          <w:right w:val="single" w:sz="8" w:space="0" w:color="F68B1F" w:themeColor="accent3"/>
        </w:tcBorders>
      </w:tcPr>
    </w:tblStylePr>
    <w:tblStylePr w:type="band1Vert">
      <w:tblPr/>
      <w:tcPr>
        <w:tcBorders>
          <w:top w:val="single" w:sz="8" w:space="0" w:color="F68B1F" w:themeColor="accent3"/>
          <w:left w:val="single" w:sz="8" w:space="0" w:color="F68B1F" w:themeColor="accent3"/>
          <w:bottom w:val="single" w:sz="8" w:space="0" w:color="F68B1F" w:themeColor="accent3"/>
          <w:right w:val="single" w:sz="8" w:space="0" w:color="F68B1F" w:themeColor="accent3"/>
        </w:tcBorders>
        <w:shd w:val="clear" w:color="auto" w:fill="FCE2C7" w:themeFill="accent3" w:themeFillTint="3F"/>
      </w:tcPr>
    </w:tblStylePr>
    <w:tblStylePr w:type="band1Horz">
      <w:tblPr/>
      <w:tcPr>
        <w:tcBorders>
          <w:top w:val="single" w:sz="8" w:space="0" w:color="F68B1F" w:themeColor="accent3"/>
          <w:left w:val="single" w:sz="8" w:space="0" w:color="F68B1F" w:themeColor="accent3"/>
          <w:bottom w:val="single" w:sz="8" w:space="0" w:color="F68B1F" w:themeColor="accent3"/>
          <w:right w:val="single" w:sz="8" w:space="0" w:color="F68B1F" w:themeColor="accent3"/>
          <w:insideV w:val="single" w:sz="8" w:space="0" w:color="F68B1F" w:themeColor="accent3"/>
        </w:tcBorders>
        <w:shd w:val="clear" w:color="auto" w:fill="FCE2C7" w:themeFill="accent3" w:themeFillTint="3F"/>
      </w:tcPr>
    </w:tblStylePr>
    <w:tblStylePr w:type="band2Horz">
      <w:tblPr/>
      <w:tcPr>
        <w:tcBorders>
          <w:top w:val="single" w:sz="8" w:space="0" w:color="F68B1F" w:themeColor="accent3"/>
          <w:left w:val="single" w:sz="8" w:space="0" w:color="F68B1F" w:themeColor="accent3"/>
          <w:bottom w:val="single" w:sz="8" w:space="0" w:color="F68B1F" w:themeColor="accent3"/>
          <w:right w:val="single" w:sz="8" w:space="0" w:color="F68B1F" w:themeColor="accent3"/>
          <w:insideV w:val="single" w:sz="8" w:space="0" w:color="F68B1F" w:themeColor="accent3"/>
        </w:tcBorders>
      </w:tcPr>
    </w:tblStylePr>
  </w:style>
  <w:style w:type="table" w:styleId="LightGrid-Accent4">
    <w:name w:val="Light Grid Accent 4"/>
    <w:basedOn w:val="TableNormal"/>
    <w:uiPriority w:val="62"/>
    <w:semiHidden/>
    <w:unhideWhenUsed/>
    <w:rsid w:val="009E6ED7"/>
    <w:tblPr>
      <w:tblStyleRowBandSize w:val="1"/>
      <w:tblStyleColBandSize w:val="1"/>
      <w:tblBorders>
        <w:top w:val="single" w:sz="8" w:space="0" w:color="9E007E" w:themeColor="accent4"/>
        <w:left w:val="single" w:sz="8" w:space="0" w:color="9E007E" w:themeColor="accent4"/>
        <w:bottom w:val="single" w:sz="8" w:space="0" w:color="9E007E" w:themeColor="accent4"/>
        <w:right w:val="single" w:sz="8" w:space="0" w:color="9E007E" w:themeColor="accent4"/>
        <w:insideH w:val="single" w:sz="8" w:space="0" w:color="9E007E" w:themeColor="accent4"/>
        <w:insideV w:val="single" w:sz="8" w:space="0" w:color="9E007E"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E007E" w:themeColor="accent4"/>
          <w:left w:val="single" w:sz="8" w:space="0" w:color="9E007E" w:themeColor="accent4"/>
          <w:bottom w:val="single" w:sz="18" w:space="0" w:color="9E007E" w:themeColor="accent4"/>
          <w:right w:val="single" w:sz="8" w:space="0" w:color="9E007E" w:themeColor="accent4"/>
          <w:insideH w:val="nil"/>
          <w:insideV w:val="single" w:sz="8" w:space="0" w:color="9E007E"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E007E" w:themeColor="accent4"/>
          <w:left w:val="single" w:sz="8" w:space="0" w:color="9E007E" w:themeColor="accent4"/>
          <w:bottom w:val="single" w:sz="8" w:space="0" w:color="9E007E" w:themeColor="accent4"/>
          <w:right w:val="single" w:sz="8" w:space="0" w:color="9E007E" w:themeColor="accent4"/>
          <w:insideH w:val="nil"/>
          <w:insideV w:val="single" w:sz="8" w:space="0" w:color="9E007E"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E007E" w:themeColor="accent4"/>
          <w:left w:val="single" w:sz="8" w:space="0" w:color="9E007E" w:themeColor="accent4"/>
          <w:bottom w:val="single" w:sz="8" w:space="0" w:color="9E007E" w:themeColor="accent4"/>
          <w:right w:val="single" w:sz="8" w:space="0" w:color="9E007E" w:themeColor="accent4"/>
        </w:tcBorders>
      </w:tcPr>
    </w:tblStylePr>
    <w:tblStylePr w:type="band1Vert">
      <w:tblPr/>
      <w:tcPr>
        <w:tcBorders>
          <w:top w:val="single" w:sz="8" w:space="0" w:color="9E007E" w:themeColor="accent4"/>
          <w:left w:val="single" w:sz="8" w:space="0" w:color="9E007E" w:themeColor="accent4"/>
          <w:bottom w:val="single" w:sz="8" w:space="0" w:color="9E007E" w:themeColor="accent4"/>
          <w:right w:val="single" w:sz="8" w:space="0" w:color="9E007E" w:themeColor="accent4"/>
        </w:tcBorders>
        <w:shd w:val="clear" w:color="auto" w:fill="FFA8ED" w:themeFill="accent4" w:themeFillTint="3F"/>
      </w:tcPr>
    </w:tblStylePr>
    <w:tblStylePr w:type="band1Horz">
      <w:tblPr/>
      <w:tcPr>
        <w:tcBorders>
          <w:top w:val="single" w:sz="8" w:space="0" w:color="9E007E" w:themeColor="accent4"/>
          <w:left w:val="single" w:sz="8" w:space="0" w:color="9E007E" w:themeColor="accent4"/>
          <w:bottom w:val="single" w:sz="8" w:space="0" w:color="9E007E" w:themeColor="accent4"/>
          <w:right w:val="single" w:sz="8" w:space="0" w:color="9E007E" w:themeColor="accent4"/>
          <w:insideV w:val="single" w:sz="8" w:space="0" w:color="9E007E" w:themeColor="accent4"/>
        </w:tcBorders>
        <w:shd w:val="clear" w:color="auto" w:fill="FFA8ED" w:themeFill="accent4" w:themeFillTint="3F"/>
      </w:tcPr>
    </w:tblStylePr>
    <w:tblStylePr w:type="band2Horz">
      <w:tblPr/>
      <w:tcPr>
        <w:tcBorders>
          <w:top w:val="single" w:sz="8" w:space="0" w:color="9E007E" w:themeColor="accent4"/>
          <w:left w:val="single" w:sz="8" w:space="0" w:color="9E007E" w:themeColor="accent4"/>
          <w:bottom w:val="single" w:sz="8" w:space="0" w:color="9E007E" w:themeColor="accent4"/>
          <w:right w:val="single" w:sz="8" w:space="0" w:color="9E007E" w:themeColor="accent4"/>
          <w:insideV w:val="single" w:sz="8" w:space="0" w:color="9E007E" w:themeColor="accent4"/>
        </w:tcBorders>
      </w:tcPr>
    </w:tblStylePr>
  </w:style>
  <w:style w:type="table" w:styleId="LightGrid-Accent5">
    <w:name w:val="Light Grid Accent 5"/>
    <w:basedOn w:val="TableNormal"/>
    <w:uiPriority w:val="62"/>
    <w:semiHidden/>
    <w:unhideWhenUsed/>
    <w:rsid w:val="009E6ED7"/>
    <w:tblPr>
      <w:tblStyleRowBandSize w:val="1"/>
      <w:tblStyleColBandSize w:val="1"/>
      <w:tblBorders>
        <w:top w:val="single" w:sz="8" w:space="0" w:color="FFE512" w:themeColor="accent5"/>
        <w:left w:val="single" w:sz="8" w:space="0" w:color="FFE512" w:themeColor="accent5"/>
        <w:bottom w:val="single" w:sz="8" w:space="0" w:color="FFE512" w:themeColor="accent5"/>
        <w:right w:val="single" w:sz="8" w:space="0" w:color="FFE512" w:themeColor="accent5"/>
        <w:insideH w:val="single" w:sz="8" w:space="0" w:color="FFE512" w:themeColor="accent5"/>
        <w:insideV w:val="single" w:sz="8" w:space="0" w:color="FFE512"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E512" w:themeColor="accent5"/>
          <w:left w:val="single" w:sz="8" w:space="0" w:color="FFE512" w:themeColor="accent5"/>
          <w:bottom w:val="single" w:sz="18" w:space="0" w:color="FFE512" w:themeColor="accent5"/>
          <w:right w:val="single" w:sz="8" w:space="0" w:color="FFE512" w:themeColor="accent5"/>
          <w:insideH w:val="nil"/>
          <w:insideV w:val="single" w:sz="8" w:space="0" w:color="FFE512"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E512" w:themeColor="accent5"/>
          <w:left w:val="single" w:sz="8" w:space="0" w:color="FFE512" w:themeColor="accent5"/>
          <w:bottom w:val="single" w:sz="8" w:space="0" w:color="FFE512" w:themeColor="accent5"/>
          <w:right w:val="single" w:sz="8" w:space="0" w:color="FFE512" w:themeColor="accent5"/>
          <w:insideH w:val="nil"/>
          <w:insideV w:val="single" w:sz="8" w:space="0" w:color="FFE512"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E512" w:themeColor="accent5"/>
          <w:left w:val="single" w:sz="8" w:space="0" w:color="FFE512" w:themeColor="accent5"/>
          <w:bottom w:val="single" w:sz="8" w:space="0" w:color="FFE512" w:themeColor="accent5"/>
          <w:right w:val="single" w:sz="8" w:space="0" w:color="FFE512" w:themeColor="accent5"/>
        </w:tcBorders>
      </w:tcPr>
    </w:tblStylePr>
    <w:tblStylePr w:type="band1Vert">
      <w:tblPr/>
      <w:tcPr>
        <w:tcBorders>
          <w:top w:val="single" w:sz="8" w:space="0" w:color="FFE512" w:themeColor="accent5"/>
          <w:left w:val="single" w:sz="8" w:space="0" w:color="FFE512" w:themeColor="accent5"/>
          <w:bottom w:val="single" w:sz="8" w:space="0" w:color="FFE512" w:themeColor="accent5"/>
          <w:right w:val="single" w:sz="8" w:space="0" w:color="FFE512" w:themeColor="accent5"/>
        </w:tcBorders>
        <w:shd w:val="clear" w:color="auto" w:fill="FFF8C4" w:themeFill="accent5" w:themeFillTint="3F"/>
      </w:tcPr>
    </w:tblStylePr>
    <w:tblStylePr w:type="band1Horz">
      <w:tblPr/>
      <w:tcPr>
        <w:tcBorders>
          <w:top w:val="single" w:sz="8" w:space="0" w:color="FFE512" w:themeColor="accent5"/>
          <w:left w:val="single" w:sz="8" w:space="0" w:color="FFE512" w:themeColor="accent5"/>
          <w:bottom w:val="single" w:sz="8" w:space="0" w:color="FFE512" w:themeColor="accent5"/>
          <w:right w:val="single" w:sz="8" w:space="0" w:color="FFE512" w:themeColor="accent5"/>
          <w:insideV w:val="single" w:sz="8" w:space="0" w:color="FFE512" w:themeColor="accent5"/>
        </w:tcBorders>
        <w:shd w:val="clear" w:color="auto" w:fill="FFF8C4" w:themeFill="accent5" w:themeFillTint="3F"/>
      </w:tcPr>
    </w:tblStylePr>
    <w:tblStylePr w:type="band2Horz">
      <w:tblPr/>
      <w:tcPr>
        <w:tcBorders>
          <w:top w:val="single" w:sz="8" w:space="0" w:color="FFE512" w:themeColor="accent5"/>
          <w:left w:val="single" w:sz="8" w:space="0" w:color="FFE512" w:themeColor="accent5"/>
          <w:bottom w:val="single" w:sz="8" w:space="0" w:color="FFE512" w:themeColor="accent5"/>
          <w:right w:val="single" w:sz="8" w:space="0" w:color="FFE512" w:themeColor="accent5"/>
          <w:insideV w:val="single" w:sz="8" w:space="0" w:color="FFE512" w:themeColor="accent5"/>
        </w:tcBorders>
      </w:tcPr>
    </w:tblStylePr>
  </w:style>
  <w:style w:type="table" w:styleId="LightGrid-Accent6">
    <w:name w:val="Light Grid Accent 6"/>
    <w:basedOn w:val="TableNormal"/>
    <w:uiPriority w:val="62"/>
    <w:semiHidden/>
    <w:unhideWhenUsed/>
    <w:rsid w:val="009E6ED7"/>
    <w:tblPr>
      <w:tblStyleRowBandSize w:val="1"/>
      <w:tblStyleColBandSize w:val="1"/>
      <w:tblBorders>
        <w:top w:val="single" w:sz="8" w:space="0" w:color="8C8279" w:themeColor="accent6"/>
        <w:left w:val="single" w:sz="8" w:space="0" w:color="8C8279" w:themeColor="accent6"/>
        <w:bottom w:val="single" w:sz="8" w:space="0" w:color="8C8279" w:themeColor="accent6"/>
        <w:right w:val="single" w:sz="8" w:space="0" w:color="8C8279" w:themeColor="accent6"/>
        <w:insideH w:val="single" w:sz="8" w:space="0" w:color="8C8279" w:themeColor="accent6"/>
        <w:insideV w:val="single" w:sz="8" w:space="0" w:color="8C827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C8279" w:themeColor="accent6"/>
          <w:left w:val="single" w:sz="8" w:space="0" w:color="8C8279" w:themeColor="accent6"/>
          <w:bottom w:val="single" w:sz="18" w:space="0" w:color="8C8279" w:themeColor="accent6"/>
          <w:right w:val="single" w:sz="8" w:space="0" w:color="8C8279" w:themeColor="accent6"/>
          <w:insideH w:val="nil"/>
          <w:insideV w:val="single" w:sz="8" w:space="0" w:color="8C827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C8279" w:themeColor="accent6"/>
          <w:left w:val="single" w:sz="8" w:space="0" w:color="8C8279" w:themeColor="accent6"/>
          <w:bottom w:val="single" w:sz="8" w:space="0" w:color="8C8279" w:themeColor="accent6"/>
          <w:right w:val="single" w:sz="8" w:space="0" w:color="8C8279" w:themeColor="accent6"/>
          <w:insideH w:val="nil"/>
          <w:insideV w:val="single" w:sz="8" w:space="0" w:color="8C827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C8279" w:themeColor="accent6"/>
          <w:left w:val="single" w:sz="8" w:space="0" w:color="8C8279" w:themeColor="accent6"/>
          <w:bottom w:val="single" w:sz="8" w:space="0" w:color="8C8279" w:themeColor="accent6"/>
          <w:right w:val="single" w:sz="8" w:space="0" w:color="8C8279" w:themeColor="accent6"/>
        </w:tcBorders>
      </w:tcPr>
    </w:tblStylePr>
    <w:tblStylePr w:type="band1Vert">
      <w:tblPr/>
      <w:tcPr>
        <w:tcBorders>
          <w:top w:val="single" w:sz="8" w:space="0" w:color="8C8279" w:themeColor="accent6"/>
          <w:left w:val="single" w:sz="8" w:space="0" w:color="8C8279" w:themeColor="accent6"/>
          <w:bottom w:val="single" w:sz="8" w:space="0" w:color="8C8279" w:themeColor="accent6"/>
          <w:right w:val="single" w:sz="8" w:space="0" w:color="8C8279" w:themeColor="accent6"/>
        </w:tcBorders>
        <w:shd w:val="clear" w:color="auto" w:fill="E2E0DD" w:themeFill="accent6" w:themeFillTint="3F"/>
      </w:tcPr>
    </w:tblStylePr>
    <w:tblStylePr w:type="band1Horz">
      <w:tblPr/>
      <w:tcPr>
        <w:tcBorders>
          <w:top w:val="single" w:sz="8" w:space="0" w:color="8C8279" w:themeColor="accent6"/>
          <w:left w:val="single" w:sz="8" w:space="0" w:color="8C8279" w:themeColor="accent6"/>
          <w:bottom w:val="single" w:sz="8" w:space="0" w:color="8C8279" w:themeColor="accent6"/>
          <w:right w:val="single" w:sz="8" w:space="0" w:color="8C8279" w:themeColor="accent6"/>
          <w:insideV w:val="single" w:sz="8" w:space="0" w:color="8C8279" w:themeColor="accent6"/>
        </w:tcBorders>
        <w:shd w:val="clear" w:color="auto" w:fill="E2E0DD" w:themeFill="accent6" w:themeFillTint="3F"/>
      </w:tcPr>
    </w:tblStylePr>
    <w:tblStylePr w:type="band2Horz">
      <w:tblPr/>
      <w:tcPr>
        <w:tcBorders>
          <w:top w:val="single" w:sz="8" w:space="0" w:color="8C8279" w:themeColor="accent6"/>
          <w:left w:val="single" w:sz="8" w:space="0" w:color="8C8279" w:themeColor="accent6"/>
          <w:bottom w:val="single" w:sz="8" w:space="0" w:color="8C8279" w:themeColor="accent6"/>
          <w:right w:val="single" w:sz="8" w:space="0" w:color="8C8279" w:themeColor="accent6"/>
          <w:insideV w:val="single" w:sz="8" w:space="0" w:color="8C8279" w:themeColor="accent6"/>
        </w:tcBorders>
      </w:tcPr>
    </w:tblStylePr>
  </w:style>
  <w:style w:type="table" w:styleId="LightList">
    <w:name w:val="Light List"/>
    <w:basedOn w:val="TableNormal"/>
    <w:uiPriority w:val="61"/>
    <w:semiHidden/>
    <w:unhideWhenUsed/>
    <w:rsid w:val="009E6ED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9E6ED7"/>
    <w:tblPr>
      <w:tblStyleRowBandSize w:val="1"/>
      <w:tblStyleColBandSize w:val="1"/>
      <w:tblBorders>
        <w:top w:val="single" w:sz="8" w:space="0" w:color="00B5E2" w:themeColor="accent1"/>
        <w:left w:val="single" w:sz="8" w:space="0" w:color="00B5E2" w:themeColor="accent1"/>
        <w:bottom w:val="single" w:sz="8" w:space="0" w:color="00B5E2" w:themeColor="accent1"/>
        <w:right w:val="single" w:sz="8" w:space="0" w:color="00B5E2" w:themeColor="accent1"/>
      </w:tblBorders>
    </w:tblPr>
    <w:tblStylePr w:type="firstRow">
      <w:pPr>
        <w:spacing w:before="0" w:after="0" w:line="240" w:lineRule="auto"/>
      </w:pPr>
      <w:rPr>
        <w:b/>
        <w:bCs/>
        <w:color w:val="FFFFFF" w:themeColor="background1"/>
      </w:rPr>
      <w:tblPr/>
      <w:tcPr>
        <w:shd w:val="clear" w:color="auto" w:fill="00B5E2" w:themeFill="accent1"/>
      </w:tcPr>
    </w:tblStylePr>
    <w:tblStylePr w:type="lastRow">
      <w:pPr>
        <w:spacing w:before="0" w:after="0" w:line="240" w:lineRule="auto"/>
      </w:pPr>
      <w:rPr>
        <w:b/>
        <w:bCs/>
      </w:rPr>
      <w:tblPr/>
      <w:tcPr>
        <w:tcBorders>
          <w:top w:val="double" w:sz="6" w:space="0" w:color="00B5E2" w:themeColor="accent1"/>
          <w:left w:val="single" w:sz="8" w:space="0" w:color="00B5E2" w:themeColor="accent1"/>
          <w:bottom w:val="single" w:sz="8" w:space="0" w:color="00B5E2" w:themeColor="accent1"/>
          <w:right w:val="single" w:sz="8" w:space="0" w:color="00B5E2" w:themeColor="accent1"/>
        </w:tcBorders>
      </w:tcPr>
    </w:tblStylePr>
    <w:tblStylePr w:type="firstCol">
      <w:rPr>
        <w:b/>
        <w:bCs/>
      </w:rPr>
    </w:tblStylePr>
    <w:tblStylePr w:type="lastCol">
      <w:rPr>
        <w:b/>
        <w:bCs/>
      </w:rPr>
    </w:tblStylePr>
    <w:tblStylePr w:type="band1Vert">
      <w:tblPr/>
      <w:tcPr>
        <w:tcBorders>
          <w:top w:val="single" w:sz="8" w:space="0" w:color="00B5E2" w:themeColor="accent1"/>
          <w:left w:val="single" w:sz="8" w:space="0" w:color="00B5E2" w:themeColor="accent1"/>
          <w:bottom w:val="single" w:sz="8" w:space="0" w:color="00B5E2" w:themeColor="accent1"/>
          <w:right w:val="single" w:sz="8" w:space="0" w:color="00B5E2" w:themeColor="accent1"/>
        </w:tcBorders>
      </w:tcPr>
    </w:tblStylePr>
    <w:tblStylePr w:type="band1Horz">
      <w:tblPr/>
      <w:tcPr>
        <w:tcBorders>
          <w:top w:val="single" w:sz="8" w:space="0" w:color="00B5E2" w:themeColor="accent1"/>
          <w:left w:val="single" w:sz="8" w:space="0" w:color="00B5E2" w:themeColor="accent1"/>
          <w:bottom w:val="single" w:sz="8" w:space="0" w:color="00B5E2" w:themeColor="accent1"/>
          <w:right w:val="single" w:sz="8" w:space="0" w:color="00B5E2" w:themeColor="accent1"/>
        </w:tcBorders>
      </w:tcPr>
    </w:tblStylePr>
  </w:style>
  <w:style w:type="table" w:styleId="LightList-Accent2">
    <w:name w:val="Light List Accent 2"/>
    <w:basedOn w:val="TableNormal"/>
    <w:uiPriority w:val="61"/>
    <w:semiHidden/>
    <w:unhideWhenUsed/>
    <w:rsid w:val="009E6ED7"/>
    <w:tblPr>
      <w:tblStyleRowBandSize w:val="1"/>
      <w:tblStyleColBandSize w:val="1"/>
      <w:tblBorders>
        <w:top w:val="single" w:sz="8" w:space="0" w:color="84BD00" w:themeColor="accent2"/>
        <w:left w:val="single" w:sz="8" w:space="0" w:color="84BD00" w:themeColor="accent2"/>
        <w:bottom w:val="single" w:sz="8" w:space="0" w:color="84BD00" w:themeColor="accent2"/>
        <w:right w:val="single" w:sz="8" w:space="0" w:color="84BD00" w:themeColor="accent2"/>
      </w:tblBorders>
    </w:tblPr>
    <w:tblStylePr w:type="firstRow">
      <w:pPr>
        <w:spacing w:before="0" w:after="0" w:line="240" w:lineRule="auto"/>
      </w:pPr>
      <w:rPr>
        <w:b/>
        <w:bCs/>
        <w:color w:val="FFFFFF" w:themeColor="background1"/>
      </w:rPr>
      <w:tblPr/>
      <w:tcPr>
        <w:shd w:val="clear" w:color="auto" w:fill="84BD00" w:themeFill="accent2"/>
      </w:tcPr>
    </w:tblStylePr>
    <w:tblStylePr w:type="lastRow">
      <w:pPr>
        <w:spacing w:before="0" w:after="0" w:line="240" w:lineRule="auto"/>
      </w:pPr>
      <w:rPr>
        <w:b/>
        <w:bCs/>
      </w:rPr>
      <w:tblPr/>
      <w:tcPr>
        <w:tcBorders>
          <w:top w:val="double" w:sz="6" w:space="0" w:color="84BD00" w:themeColor="accent2"/>
          <w:left w:val="single" w:sz="8" w:space="0" w:color="84BD00" w:themeColor="accent2"/>
          <w:bottom w:val="single" w:sz="8" w:space="0" w:color="84BD00" w:themeColor="accent2"/>
          <w:right w:val="single" w:sz="8" w:space="0" w:color="84BD00" w:themeColor="accent2"/>
        </w:tcBorders>
      </w:tcPr>
    </w:tblStylePr>
    <w:tblStylePr w:type="firstCol">
      <w:rPr>
        <w:b/>
        <w:bCs/>
      </w:rPr>
    </w:tblStylePr>
    <w:tblStylePr w:type="lastCol">
      <w:rPr>
        <w:b/>
        <w:bCs/>
      </w:rPr>
    </w:tblStylePr>
    <w:tblStylePr w:type="band1Vert">
      <w:tblPr/>
      <w:tcPr>
        <w:tcBorders>
          <w:top w:val="single" w:sz="8" w:space="0" w:color="84BD00" w:themeColor="accent2"/>
          <w:left w:val="single" w:sz="8" w:space="0" w:color="84BD00" w:themeColor="accent2"/>
          <w:bottom w:val="single" w:sz="8" w:space="0" w:color="84BD00" w:themeColor="accent2"/>
          <w:right w:val="single" w:sz="8" w:space="0" w:color="84BD00" w:themeColor="accent2"/>
        </w:tcBorders>
      </w:tcPr>
    </w:tblStylePr>
    <w:tblStylePr w:type="band1Horz">
      <w:tblPr/>
      <w:tcPr>
        <w:tcBorders>
          <w:top w:val="single" w:sz="8" w:space="0" w:color="84BD00" w:themeColor="accent2"/>
          <w:left w:val="single" w:sz="8" w:space="0" w:color="84BD00" w:themeColor="accent2"/>
          <w:bottom w:val="single" w:sz="8" w:space="0" w:color="84BD00" w:themeColor="accent2"/>
          <w:right w:val="single" w:sz="8" w:space="0" w:color="84BD00" w:themeColor="accent2"/>
        </w:tcBorders>
      </w:tcPr>
    </w:tblStylePr>
  </w:style>
  <w:style w:type="table" w:styleId="LightList-Accent3">
    <w:name w:val="Light List Accent 3"/>
    <w:basedOn w:val="TableNormal"/>
    <w:uiPriority w:val="61"/>
    <w:semiHidden/>
    <w:unhideWhenUsed/>
    <w:rsid w:val="009E6ED7"/>
    <w:tblPr>
      <w:tblStyleRowBandSize w:val="1"/>
      <w:tblStyleColBandSize w:val="1"/>
      <w:tblBorders>
        <w:top w:val="single" w:sz="8" w:space="0" w:color="F68B1F" w:themeColor="accent3"/>
        <w:left w:val="single" w:sz="8" w:space="0" w:color="F68B1F" w:themeColor="accent3"/>
        <w:bottom w:val="single" w:sz="8" w:space="0" w:color="F68B1F" w:themeColor="accent3"/>
        <w:right w:val="single" w:sz="8" w:space="0" w:color="F68B1F" w:themeColor="accent3"/>
      </w:tblBorders>
    </w:tblPr>
    <w:tblStylePr w:type="firstRow">
      <w:pPr>
        <w:spacing w:before="0" w:after="0" w:line="240" w:lineRule="auto"/>
      </w:pPr>
      <w:rPr>
        <w:b/>
        <w:bCs/>
        <w:color w:val="FFFFFF" w:themeColor="background1"/>
      </w:rPr>
      <w:tblPr/>
      <w:tcPr>
        <w:shd w:val="clear" w:color="auto" w:fill="F68B1F" w:themeFill="accent3"/>
      </w:tcPr>
    </w:tblStylePr>
    <w:tblStylePr w:type="lastRow">
      <w:pPr>
        <w:spacing w:before="0" w:after="0" w:line="240" w:lineRule="auto"/>
      </w:pPr>
      <w:rPr>
        <w:b/>
        <w:bCs/>
      </w:rPr>
      <w:tblPr/>
      <w:tcPr>
        <w:tcBorders>
          <w:top w:val="double" w:sz="6" w:space="0" w:color="F68B1F" w:themeColor="accent3"/>
          <w:left w:val="single" w:sz="8" w:space="0" w:color="F68B1F" w:themeColor="accent3"/>
          <w:bottom w:val="single" w:sz="8" w:space="0" w:color="F68B1F" w:themeColor="accent3"/>
          <w:right w:val="single" w:sz="8" w:space="0" w:color="F68B1F" w:themeColor="accent3"/>
        </w:tcBorders>
      </w:tcPr>
    </w:tblStylePr>
    <w:tblStylePr w:type="firstCol">
      <w:rPr>
        <w:b/>
        <w:bCs/>
      </w:rPr>
    </w:tblStylePr>
    <w:tblStylePr w:type="lastCol">
      <w:rPr>
        <w:b/>
        <w:bCs/>
      </w:rPr>
    </w:tblStylePr>
    <w:tblStylePr w:type="band1Vert">
      <w:tblPr/>
      <w:tcPr>
        <w:tcBorders>
          <w:top w:val="single" w:sz="8" w:space="0" w:color="F68B1F" w:themeColor="accent3"/>
          <w:left w:val="single" w:sz="8" w:space="0" w:color="F68B1F" w:themeColor="accent3"/>
          <w:bottom w:val="single" w:sz="8" w:space="0" w:color="F68B1F" w:themeColor="accent3"/>
          <w:right w:val="single" w:sz="8" w:space="0" w:color="F68B1F" w:themeColor="accent3"/>
        </w:tcBorders>
      </w:tcPr>
    </w:tblStylePr>
    <w:tblStylePr w:type="band1Horz">
      <w:tblPr/>
      <w:tcPr>
        <w:tcBorders>
          <w:top w:val="single" w:sz="8" w:space="0" w:color="F68B1F" w:themeColor="accent3"/>
          <w:left w:val="single" w:sz="8" w:space="0" w:color="F68B1F" w:themeColor="accent3"/>
          <w:bottom w:val="single" w:sz="8" w:space="0" w:color="F68B1F" w:themeColor="accent3"/>
          <w:right w:val="single" w:sz="8" w:space="0" w:color="F68B1F" w:themeColor="accent3"/>
        </w:tcBorders>
      </w:tcPr>
    </w:tblStylePr>
  </w:style>
  <w:style w:type="table" w:styleId="LightList-Accent4">
    <w:name w:val="Light List Accent 4"/>
    <w:basedOn w:val="TableNormal"/>
    <w:uiPriority w:val="61"/>
    <w:semiHidden/>
    <w:unhideWhenUsed/>
    <w:rsid w:val="009E6ED7"/>
    <w:tblPr>
      <w:tblStyleRowBandSize w:val="1"/>
      <w:tblStyleColBandSize w:val="1"/>
      <w:tblBorders>
        <w:top w:val="single" w:sz="8" w:space="0" w:color="9E007E" w:themeColor="accent4"/>
        <w:left w:val="single" w:sz="8" w:space="0" w:color="9E007E" w:themeColor="accent4"/>
        <w:bottom w:val="single" w:sz="8" w:space="0" w:color="9E007E" w:themeColor="accent4"/>
        <w:right w:val="single" w:sz="8" w:space="0" w:color="9E007E" w:themeColor="accent4"/>
      </w:tblBorders>
    </w:tblPr>
    <w:tblStylePr w:type="firstRow">
      <w:pPr>
        <w:spacing w:before="0" w:after="0" w:line="240" w:lineRule="auto"/>
      </w:pPr>
      <w:rPr>
        <w:b/>
        <w:bCs/>
        <w:color w:val="FFFFFF" w:themeColor="background1"/>
      </w:rPr>
      <w:tblPr/>
      <w:tcPr>
        <w:shd w:val="clear" w:color="auto" w:fill="9E007E" w:themeFill="accent4"/>
      </w:tcPr>
    </w:tblStylePr>
    <w:tblStylePr w:type="lastRow">
      <w:pPr>
        <w:spacing w:before="0" w:after="0" w:line="240" w:lineRule="auto"/>
      </w:pPr>
      <w:rPr>
        <w:b/>
        <w:bCs/>
      </w:rPr>
      <w:tblPr/>
      <w:tcPr>
        <w:tcBorders>
          <w:top w:val="double" w:sz="6" w:space="0" w:color="9E007E" w:themeColor="accent4"/>
          <w:left w:val="single" w:sz="8" w:space="0" w:color="9E007E" w:themeColor="accent4"/>
          <w:bottom w:val="single" w:sz="8" w:space="0" w:color="9E007E" w:themeColor="accent4"/>
          <w:right w:val="single" w:sz="8" w:space="0" w:color="9E007E" w:themeColor="accent4"/>
        </w:tcBorders>
      </w:tcPr>
    </w:tblStylePr>
    <w:tblStylePr w:type="firstCol">
      <w:rPr>
        <w:b/>
        <w:bCs/>
      </w:rPr>
    </w:tblStylePr>
    <w:tblStylePr w:type="lastCol">
      <w:rPr>
        <w:b/>
        <w:bCs/>
      </w:rPr>
    </w:tblStylePr>
    <w:tblStylePr w:type="band1Vert">
      <w:tblPr/>
      <w:tcPr>
        <w:tcBorders>
          <w:top w:val="single" w:sz="8" w:space="0" w:color="9E007E" w:themeColor="accent4"/>
          <w:left w:val="single" w:sz="8" w:space="0" w:color="9E007E" w:themeColor="accent4"/>
          <w:bottom w:val="single" w:sz="8" w:space="0" w:color="9E007E" w:themeColor="accent4"/>
          <w:right w:val="single" w:sz="8" w:space="0" w:color="9E007E" w:themeColor="accent4"/>
        </w:tcBorders>
      </w:tcPr>
    </w:tblStylePr>
    <w:tblStylePr w:type="band1Horz">
      <w:tblPr/>
      <w:tcPr>
        <w:tcBorders>
          <w:top w:val="single" w:sz="8" w:space="0" w:color="9E007E" w:themeColor="accent4"/>
          <w:left w:val="single" w:sz="8" w:space="0" w:color="9E007E" w:themeColor="accent4"/>
          <w:bottom w:val="single" w:sz="8" w:space="0" w:color="9E007E" w:themeColor="accent4"/>
          <w:right w:val="single" w:sz="8" w:space="0" w:color="9E007E" w:themeColor="accent4"/>
        </w:tcBorders>
      </w:tcPr>
    </w:tblStylePr>
  </w:style>
  <w:style w:type="table" w:styleId="LightList-Accent5">
    <w:name w:val="Light List Accent 5"/>
    <w:basedOn w:val="TableNormal"/>
    <w:uiPriority w:val="61"/>
    <w:semiHidden/>
    <w:unhideWhenUsed/>
    <w:rsid w:val="009E6ED7"/>
    <w:tblPr>
      <w:tblStyleRowBandSize w:val="1"/>
      <w:tblStyleColBandSize w:val="1"/>
      <w:tblBorders>
        <w:top w:val="single" w:sz="8" w:space="0" w:color="FFE512" w:themeColor="accent5"/>
        <w:left w:val="single" w:sz="8" w:space="0" w:color="FFE512" w:themeColor="accent5"/>
        <w:bottom w:val="single" w:sz="8" w:space="0" w:color="FFE512" w:themeColor="accent5"/>
        <w:right w:val="single" w:sz="8" w:space="0" w:color="FFE512" w:themeColor="accent5"/>
      </w:tblBorders>
    </w:tblPr>
    <w:tblStylePr w:type="firstRow">
      <w:pPr>
        <w:spacing w:before="0" w:after="0" w:line="240" w:lineRule="auto"/>
      </w:pPr>
      <w:rPr>
        <w:b/>
        <w:bCs/>
        <w:color w:val="FFFFFF" w:themeColor="background1"/>
      </w:rPr>
      <w:tblPr/>
      <w:tcPr>
        <w:shd w:val="clear" w:color="auto" w:fill="FFE512" w:themeFill="accent5"/>
      </w:tcPr>
    </w:tblStylePr>
    <w:tblStylePr w:type="lastRow">
      <w:pPr>
        <w:spacing w:before="0" w:after="0" w:line="240" w:lineRule="auto"/>
      </w:pPr>
      <w:rPr>
        <w:b/>
        <w:bCs/>
      </w:rPr>
      <w:tblPr/>
      <w:tcPr>
        <w:tcBorders>
          <w:top w:val="double" w:sz="6" w:space="0" w:color="FFE512" w:themeColor="accent5"/>
          <w:left w:val="single" w:sz="8" w:space="0" w:color="FFE512" w:themeColor="accent5"/>
          <w:bottom w:val="single" w:sz="8" w:space="0" w:color="FFE512" w:themeColor="accent5"/>
          <w:right w:val="single" w:sz="8" w:space="0" w:color="FFE512" w:themeColor="accent5"/>
        </w:tcBorders>
      </w:tcPr>
    </w:tblStylePr>
    <w:tblStylePr w:type="firstCol">
      <w:rPr>
        <w:b/>
        <w:bCs/>
      </w:rPr>
    </w:tblStylePr>
    <w:tblStylePr w:type="lastCol">
      <w:rPr>
        <w:b/>
        <w:bCs/>
      </w:rPr>
    </w:tblStylePr>
    <w:tblStylePr w:type="band1Vert">
      <w:tblPr/>
      <w:tcPr>
        <w:tcBorders>
          <w:top w:val="single" w:sz="8" w:space="0" w:color="FFE512" w:themeColor="accent5"/>
          <w:left w:val="single" w:sz="8" w:space="0" w:color="FFE512" w:themeColor="accent5"/>
          <w:bottom w:val="single" w:sz="8" w:space="0" w:color="FFE512" w:themeColor="accent5"/>
          <w:right w:val="single" w:sz="8" w:space="0" w:color="FFE512" w:themeColor="accent5"/>
        </w:tcBorders>
      </w:tcPr>
    </w:tblStylePr>
    <w:tblStylePr w:type="band1Horz">
      <w:tblPr/>
      <w:tcPr>
        <w:tcBorders>
          <w:top w:val="single" w:sz="8" w:space="0" w:color="FFE512" w:themeColor="accent5"/>
          <w:left w:val="single" w:sz="8" w:space="0" w:color="FFE512" w:themeColor="accent5"/>
          <w:bottom w:val="single" w:sz="8" w:space="0" w:color="FFE512" w:themeColor="accent5"/>
          <w:right w:val="single" w:sz="8" w:space="0" w:color="FFE512" w:themeColor="accent5"/>
        </w:tcBorders>
      </w:tcPr>
    </w:tblStylePr>
  </w:style>
  <w:style w:type="table" w:styleId="LightList-Accent6">
    <w:name w:val="Light List Accent 6"/>
    <w:basedOn w:val="TableNormal"/>
    <w:uiPriority w:val="61"/>
    <w:semiHidden/>
    <w:unhideWhenUsed/>
    <w:rsid w:val="009E6ED7"/>
    <w:tblPr>
      <w:tblStyleRowBandSize w:val="1"/>
      <w:tblStyleColBandSize w:val="1"/>
      <w:tblBorders>
        <w:top w:val="single" w:sz="8" w:space="0" w:color="8C8279" w:themeColor="accent6"/>
        <w:left w:val="single" w:sz="8" w:space="0" w:color="8C8279" w:themeColor="accent6"/>
        <w:bottom w:val="single" w:sz="8" w:space="0" w:color="8C8279" w:themeColor="accent6"/>
        <w:right w:val="single" w:sz="8" w:space="0" w:color="8C8279" w:themeColor="accent6"/>
      </w:tblBorders>
    </w:tblPr>
    <w:tblStylePr w:type="firstRow">
      <w:pPr>
        <w:spacing w:before="0" w:after="0" w:line="240" w:lineRule="auto"/>
      </w:pPr>
      <w:rPr>
        <w:b/>
        <w:bCs/>
        <w:color w:val="FFFFFF" w:themeColor="background1"/>
      </w:rPr>
      <w:tblPr/>
      <w:tcPr>
        <w:shd w:val="clear" w:color="auto" w:fill="8C8279" w:themeFill="accent6"/>
      </w:tcPr>
    </w:tblStylePr>
    <w:tblStylePr w:type="lastRow">
      <w:pPr>
        <w:spacing w:before="0" w:after="0" w:line="240" w:lineRule="auto"/>
      </w:pPr>
      <w:rPr>
        <w:b/>
        <w:bCs/>
      </w:rPr>
      <w:tblPr/>
      <w:tcPr>
        <w:tcBorders>
          <w:top w:val="double" w:sz="6" w:space="0" w:color="8C8279" w:themeColor="accent6"/>
          <w:left w:val="single" w:sz="8" w:space="0" w:color="8C8279" w:themeColor="accent6"/>
          <w:bottom w:val="single" w:sz="8" w:space="0" w:color="8C8279" w:themeColor="accent6"/>
          <w:right w:val="single" w:sz="8" w:space="0" w:color="8C8279" w:themeColor="accent6"/>
        </w:tcBorders>
      </w:tcPr>
    </w:tblStylePr>
    <w:tblStylePr w:type="firstCol">
      <w:rPr>
        <w:b/>
        <w:bCs/>
      </w:rPr>
    </w:tblStylePr>
    <w:tblStylePr w:type="lastCol">
      <w:rPr>
        <w:b/>
        <w:bCs/>
      </w:rPr>
    </w:tblStylePr>
    <w:tblStylePr w:type="band1Vert">
      <w:tblPr/>
      <w:tcPr>
        <w:tcBorders>
          <w:top w:val="single" w:sz="8" w:space="0" w:color="8C8279" w:themeColor="accent6"/>
          <w:left w:val="single" w:sz="8" w:space="0" w:color="8C8279" w:themeColor="accent6"/>
          <w:bottom w:val="single" w:sz="8" w:space="0" w:color="8C8279" w:themeColor="accent6"/>
          <w:right w:val="single" w:sz="8" w:space="0" w:color="8C8279" w:themeColor="accent6"/>
        </w:tcBorders>
      </w:tcPr>
    </w:tblStylePr>
    <w:tblStylePr w:type="band1Horz">
      <w:tblPr/>
      <w:tcPr>
        <w:tcBorders>
          <w:top w:val="single" w:sz="8" w:space="0" w:color="8C8279" w:themeColor="accent6"/>
          <w:left w:val="single" w:sz="8" w:space="0" w:color="8C8279" w:themeColor="accent6"/>
          <w:bottom w:val="single" w:sz="8" w:space="0" w:color="8C8279" w:themeColor="accent6"/>
          <w:right w:val="single" w:sz="8" w:space="0" w:color="8C8279" w:themeColor="accent6"/>
        </w:tcBorders>
      </w:tcPr>
    </w:tblStylePr>
  </w:style>
  <w:style w:type="table" w:styleId="LightShading">
    <w:name w:val="Light Shading"/>
    <w:basedOn w:val="TableNormal"/>
    <w:uiPriority w:val="60"/>
    <w:semiHidden/>
    <w:unhideWhenUsed/>
    <w:rsid w:val="009E6ED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9E6ED7"/>
    <w:rPr>
      <w:color w:val="0087A9" w:themeColor="accent1" w:themeShade="BF"/>
    </w:rPr>
    <w:tblPr>
      <w:tblStyleRowBandSize w:val="1"/>
      <w:tblStyleColBandSize w:val="1"/>
      <w:tblBorders>
        <w:top w:val="single" w:sz="8" w:space="0" w:color="00B5E2" w:themeColor="accent1"/>
        <w:bottom w:val="single" w:sz="8" w:space="0" w:color="00B5E2" w:themeColor="accent1"/>
      </w:tblBorders>
    </w:tblPr>
    <w:tblStylePr w:type="firstRow">
      <w:pPr>
        <w:spacing w:before="0" w:after="0" w:line="240" w:lineRule="auto"/>
      </w:pPr>
      <w:rPr>
        <w:b/>
        <w:bCs/>
      </w:rPr>
      <w:tblPr/>
      <w:tcPr>
        <w:tcBorders>
          <w:top w:val="single" w:sz="8" w:space="0" w:color="00B5E2" w:themeColor="accent1"/>
          <w:left w:val="nil"/>
          <w:bottom w:val="single" w:sz="8" w:space="0" w:color="00B5E2" w:themeColor="accent1"/>
          <w:right w:val="nil"/>
          <w:insideH w:val="nil"/>
          <w:insideV w:val="nil"/>
        </w:tcBorders>
      </w:tcPr>
    </w:tblStylePr>
    <w:tblStylePr w:type="lastRow">
      <w:pPr>
        <w:spacing w:before="0" w:after="0" w:line="240" w:lineRule="auto"/>
      </w:pPr>
      <w:rPr>
        <w:b/>
        <w:bCs/>
      </w:rPr>
      <w:tblPr/>
      <w:tcPr>
        <w:tcBorders>
          <w:top w:val="single" w:sz="8" w:space="0" w:color="00B5E2" w:themeColor="accent1"/>
          <w:left w:val="nil"/>
          <w:bottom w:val="single" w:sz="8" w:space="0" w:color="00B5E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8F0FF" w:themeFill="accent1" w:themeFillTint="3F"/>
      </w:tcPr>
    </w:tblStylePr>
    <w:tblStylePr w:type="band1Horz">
      <w:tblPr/>
      <w:tcPr>
        <w:tcBorders>
          <w:left w:val="nil"/>
          <w:right w:val="nil"/>
          <w:insideH w:val="nil"/>
          <w:insideV w:val="nil"/>
        </w:tcBorders>
        <w:shd w:val="clear" w:color="auto" w:fill="B8F0FF" w:themeFill="accent1" w:themeFillTint="3F"/>
      </w:tcPr>
    </w:tblStylePr>
  </w:style>
  <w:style w:type="table" w:styleId="LightShading-Accent2">
    <w:name w:val="Light Shading Accent 2"/>
    <w:basedOn w:val="TableNormal"/>
    <w:uiPriority w:val="60"/>
    <w:semiHidden/>
    <w:unhideWhenUsed/>
    <w:rsid w:val="009E6ED7"/>
    <w:rPr>
      <w:color w:val="628D00" w:themeColor="accent2" w:themeShade="BF"/>
    </w:rPr>
    <w:tblPr>
      <w:tblStyleRowBandSize w:val="1"/>
      <w:tblStyleColBandSize w:val="1"/>
      <w:tblBorders>
        <w:top w:val="single" w:sz="8" w:space="0" w:color="84BD00" w:themeColor="accent2"/>
        <w:bottom w:val="single" w:sz="8" w:space="0" w:color="84BD00" w:themeColor="accent2"/>
      </w:tblBorders>
    </w:tblPr>
    <w:tblStylePr w:type="firstRow">
      <w:pPr>
        <w:spacing w:before="0" w:after="0" w:line="240" w:lineRule="auto"/>
      </w:pPr>
      <w:rPr>
        <w:b/>
        <w:bCs/>
      </w:rPr>
      <w:tblPr/>
      <w:tcPr>
        <w:tcBorders>
          <w:top w:val="single" w:sz="8" w:space="0" w:color="84BD00" w:themeColor="accent2"/>
          <w:left w:val="nil"/>
          <w:bottom w:val="single" w:sz="8" w:space="0" w:color="84BD00" w:themeColor="accent2"/>
          <w:right w:val="nil"/>
          <w:insideH w:val="nil"/>
          <w:insideV w:val="nil"/>
        </w:tcBorders>
      </w:tcPr>
    </w:tblStylePr>
    <w:tblStylePr w:type="lastRow">
      <w:pPr>
        <w:spacing w:before="0" w:after="0" w:line="240" w:lineRule="auto"/>
      </w:pPr>
      <w:rPr>
        <w:b/>
        <w:bCs/>
      </w:rPr>
      <w:tblPr/>
      <w:tcPr>
        <w:tcBorders>
          <w:top w:val="single" w:sz="8" w:space="0" w:color="84BD00" w:themeColor="accent2"/>
          <w:left w:val="nil"/>
          <w:bottom w:val="single" w:sz="8" w:space="0" w:color="84BD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7FFAF" w:themeFill="accent2" w:themeFillTint="3F"/>
      </w:tcPr>
    </w:tblStylePr>
    <w:tblStylePr w:type="band1Horz">
      <w:tblPr/>
      <w:tcPr>
        <w:tcBorders>
          <w:left w:val="nil"/>
          <w:right w:val="nil"/>
          <w:insideH w:val="nil"/>
          <w:insideV w:val="nil"/>
        </w:tcBorders>
        <w:shd w:val="clear" w:color="auto" w:fill="E7FFAF" w:themeFill="accent2" w:themeFillTint="3F"/>
      </w:tcPr>
    </w:tblStylePr>
  </w:style>
  <w:style w:type="table" w:styleId="LightShading-Accent3">
    <w:name w:val="Light Shading Accent 3"/>
    <w:basedOn w:val="TableNormal"/>
    <w:uiPriority w:val="60"/>
    <w:semiHidden/>
    <w:unhideWhenUsed/>
    <w:rsid w:val="009E6ED7"/>
    <w:rPr>
      <w:color w:val="C76808" w:themeColor="accent3" w:themeShade="BF"/>
    </w:rPr>
    <w:tblPr>
      <w:tblStyleRowBandSize w:val="1"/>
      <w:tblStyleColBandSize w:val="1"/>
      <w:tblBorders>
        <w:top w:val="single" w:sz="8" w:space="0" w:color="F68B1F" w:themeColor="accent3"/>
        <w:bottom w:val="single" w:sz="8" w:space="0" w:color="F68B1F" w:themeColor="accent3"/>
      </w:tblBorders>
    </w:tblPr>
    <w:tblStylePr w:type="firstRow">
      <w:pPr>
        <w:spacing w:before="0" w:after="0" w:line="240" w:lineRule="auto"/>
      </w:pPr>
      <w:rPr>
        <w:b/>
        <w:bCs/>
      </w:rPr>
      <w:tblPr/>
      <w:tcPr>
        <w:tcBorders>
          <w:top w:val="single" w:sz="8" w:space="0" w:color="F68B1F" w:themeColor="accent3"/>
          <w:left w:val="nil"/>
          <w:bottom w:val="single" w:sz="8" w:space="0" w:color="F68B1F" w:themeColor="accent3"/>
          <w:right w:val="nil"/>
          <w:insideH w:val="nil"/>
          <w:insideV w:val="nil"/>
        </w:tcBorders>
      </w:tcPr>
    </w:tblStylePr>
    <w:tblStylePr w:type="lastRow">
      <w:pPr>
        <w:spacing w:before="0" w:after="0" w:line="240" w:lineRule="auto"/>
      </w:pPr>
      <w:rPr>
        <w:b/>
        <w:bCs/>
      </w:rPr>
      <w:tblPr/>
      <w:tcPr>
        <w:tcBorders>
          <w:top w:val="single" w:sz="8" w:space="0" w:color="F68B1F" w:themeColor="accent3"/>
          <w:left w:val="nil"/>
          <w:bottom w:val="single" w:sz="8" w:space="0" w:color="F68B1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CE2C7" w:themeFill="accent3" w:themeFillTint="3F"/>
      </w:tcPr>
    </w:tblStylePr>
    <w:tblStylePr w:type="band1Horz">
      <w:tblPr/>
      <w:tcPr>
        <w:tcBorders>
          <w:left w:val="nil"/>
          <w:right w:val="nil"/>
          <w:insideH w:val="nil"/>
          <w:insideV w:val="nil"/>
        </w:tcBorders>
        <w:shd w:val="clear" w:color="auto" w:fill="FCE2C7" w:themeFill="accent3" w:themeFillTint="3F"/>
      </w:tcPr>
    </w:tblStylePr>
  </w:style>
  <w:style w:type="table" w:styleId="LightShading-Accent4">
    <w:name w:val="Light Shading Accent 4"/>
    <w:basedOn w:val="TableNormal"/>
    <w:uiPriority w:val="60"/>
    <w:semiHidden/>
    <w:unhideWhenUsed/>
    <w:rsid w:val="009E6ED7"/>
    <w:rPr>
      <w:color w:val="76005E" w:themeColor="accent4" w:themeShade="BF"/>
    </w:rPr>
    <w:tblPr>
      <w:tblStyleRowBandSize w:val="1"/>
      <w:tblStyleColBandSize w:val="1"/>
      <w:tblBorders>
        <w:top w:val="single" w:sz="8" w:space="0" w:color="9E007E" w:themeColor="accent4"/>
        <w:bottom w:val="single" w:sz="8" w:space="0" w:color="9E007E" w:themeColor="accent4"/>
      </w:tblBorders>
    </w:tblPr>
    <w:tblStylePr w:type="firstRow">
      <w:pPr>
        <w:spacing w:before="0" w:after="0" w:line="240" w:lineRule="auto"/>
      </w:pPr>
      <w:rPr>
        <w:b/>
        <w:bCs/>
      </w:rPr>
      <w:tblPr/>
      <w:tcPr>
        <w:tcBorders>
          <w:top w:val="single" w:sz="8" w:space="0" w:color="9E007E" w:themeColor="accent4"/>
          <w:left w:val="nil"/>
          <w:bottom w:val="single" w:sz="8" w:space="0" w:color="9E007E" w:themeColor="accent4"/>
          <w:right w:val="nil"/>
          <w:insideH w:val="nil"/>
          <w:insideV w:val="nil"/>
        </w:tcBorders>
      </w:tcPr>
    </w:tblStylePr>
    <w:tblStylePr w:type="lastRow">
      <w:pPr>
        <w:spacing w:before="0" w:after="0" w:line="240" w:lineRule="auto"/>
      </w:pPr>
      <w:rPr>
        <w:b/>
        <w:bCs/>
      </w:rPr>
      <w:tblPr/>
      <w:tcPr>
        <w:tcBorders>
          <w:top w:val="single" w:sz="8" w:space="0" w:color="9E007E" w:themeColor="accent4"/>
          <w:left w:val="nil"/>
          <w:bottom w:val="single" w:sz="8" w:space="0" w:color="9E007E"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A8ED" w:themeFill="accent4" w:themeFillTint="3F"/>
      </w:tcPr>
    </w:tblStylePr>
    <w:tblStylePr w:type="band1Horz">
      <w:tblPr/>
      <w:tcPr>
        <w:tcBorders>
          <w:left w:val="nil"/>
          <w:right w:val="nil"/>
          <w:insideH w:val="nil"/>
          <w:insideV w:val="nil"/>
        </w:tcBorders>
        <w:shd w:val="clear" w:color="auto" w:fill="FFA8ED" w:themeFill="accent4" w:themeFillTint="3F"/>
      </w:tcPr>
    </w:tblStylePr>
  </w:style>
  <w:style w:type="table" w:styleId="LightShading-Accent5">
    <w:name w:val="Light Shading Accent 5"/>
    <w:basedOn w:val="TableNormal"/>
    <w:uiPriority w:val="60"/>
    <w:semiHidden/>
    <w:unhideWhenUsed/>
    <w:rsid w:val="009E6ED7"/>
    <w:rPr>
      <w:color w:val="CCB500" w:themeColor="accent5" w:themeShade="BF"/>
    </w:rPr>
    <w:tblPr>
      <w:tblStyleRowBandSize w:val="1"/>
      <w:tblStyleColBandSize w:val="1"/>
      <w:tblBorders>
        <w:top w:val="single" w:sz="8" w:space="0" w:color="FFE512" w:themeColor="accent5"/>
        <w:bottom w:val="single" w:sz="8" w:space="0" w:color="FFE512" w:themeColor="accent5"/>
      </w:tblBorders>
    </w:tblPr>
    <w:tblStylePr w:type="firstRow">
      <w:pPr>
        <w:spacing w:before="0" w:after="0" w:line="240" w:lineRule="auto"/>
      </w:pPr>
      <w:rPr>
        <w:b/>
        <w:bCs/>
      </w:rPr>
      <w:tblPr/>
      <w:tcPr>
        <w:tcBorders>
          <w:top w:val="single" w:sz="8" w:space="0" w:color="FFE512" w:themeColor="accent5"/>
          <w:left w:val="nil"/>
          <w:bottom w:val="single" w:sz="8" w:space="0" w:color="FFE512" w:themeColor="accent5"/>
          <w:right w:val="nil"/>
          <w:insideH w:val="nil"/>
          <w:insideV w:val="nil"/>
        </w:tcBorders>
      </w:tcPr>
    </w:tblStylePr>
    <w:tblStylePr w:type="lastRow">
      <w:pPr>
        <w:spacing w:before="0" w:after="0" w:line="240" w:lineRule="auto"/>
      </w:pPr>
      <w:rPr>
        <w:b/>
        <w:bCs/>
      </w:rPr>
      <w:tblPr/>
      <w:tcPr>
        <w:tcBorders>
          <w:top w:val="single" w:sz="8" w:space="0" w:color="FFE512" w:themeColor="accent5"/>
          <w:left w:val="nil"/>
          <w:bottom w:val="single" w:sz="8" w:space="0" w:color="FFE512"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8C4" w:themeFill="accent5" w:themeFillTint="3F"/>
      </w:tcPr>
    </w:tblStylePr>
    <w:tblStylePr w:type="band1Horz">
      <w:tblPr/>
      <w:tcPr>
        <w:tcBorders>
          <w:left w:val="nil"/>
          <w:right w:val="nil"/>
          <w:insideH w:val="nil"/>
          <w:insideV w:val="nil"/>
        </w:tcBorders>
        <w:shd w:val="clear" w:color="auto" w:fill="FFF8C4" w:themeFill="accent5" w:themeFillTint="3F"/>
      </w:tcPr>
    </w:tblStylePr>
  </w:style>
  <w:style w:type="table" w:styleId="LightShading-Accent6">
    <w:name w:val="Light Shading Accent 6"/>
    <w:basedOn w:val="TableNormal"/>
    <w:uiPriority w:val="60"/>
    <w:semiHidden/>
    <w:unhideWhenUsed/>
    <w:rsid w:val="009E6ED7"/>
    <w:rPr>
      <w:color w:val="69615A" w:themeColor="accent6" w:themeShade="BF"/>
    </w:rPr>
    <w:tblPr>
      <w:tblStyleRowBandSize w:val="1"/>
      <w:tblStyleColBandSize w:val="1"/>
      <w:tblBorders>
        <w:top w:val="single" w:sz="8" w:space="0" w:color="8C8279" w:themeColor="accent6"/>
        <w:bottom w:val="single" w:sz="8" w:space="0" w:color="8C8279" w:themeColor="accent6"/>
      </w:tblBorders>
    </w:tblPr>
    <w:tblStylePr w:type="firstRow">
      <w:pPr>
        <w:spacing w:before="0" w:after="0" w:line="240" w:lineRule="auto"/>
      </w:pPr>
      <w:rPr>
        <w:b/>
        <w:bCs/>
      </w:rPr>
      <w:tblPr/>
      <w:tcPr>
        <w:tcBorders>
          <w:top w:val="single" w:sz="8" w:space="0" w:color="8C8279" w:themeColor="accent6"/>
          <w:left w:val="nil"/>
          <w:bottom w:val="single" w:sz="8" w:space="0" w:color="8C8279" w:themeColor="accent6"/>
          <w:right w:val="nil"/>
          <w:insideH w:val="nil"/>
          <w:insideV w:val="nil"/>
        </w:tcBorders>
      </w:tcPr>
    </w:tblStylePr>
    <w:tblStylePr w:type="lastRow">
      <w:pPr>
        <w:spacing w:before="0" w:after="0" w:line="240" w:lineRule="auto"/>
      </w:pPr>
      <w:rPr>
        <w:b/>
        <w:bCs/>
      </w:rPr>
      <w:tblPr/>
      <w:tcPr>
        <w:tcBorders>
          <w:top w:val="single" w:sz="8" w:space="0" w:color="8C8279" w:themeColor="accent6"/>
          <w:left w:val="nil"/>
          <w:bottom w:val="single" w:sz="8" w:space="0" w:color="8C8279"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E0DD" w:themeFill="accent6" w:themeFillTint="3F"/>
      </w:tcPr>
    </w:tblStylePr>
    <w:tblStylePr w:type="band1Horz">
      <w:tblPr/>
      <w:tcPr>
        <w:tcBorders>
          <w:left w:val="nil"/>
          <w:right w:val="nil"/>
          <w:insideH w:val="nil"/>
          <w:insideV w:val="nil"/>
        </w:tcBorders>
        <w:shd w:val="clear" w:color="auto" w:fill="E2E0DD" w:themeFill="accent6" w:themeFillTint="3F"/>
      </w:tcPr>
    </w:tblStylePr>
  </w:style>
  <w:style w:type="table" w:styleId="MediumGrid1">
    <w:name w:val="Medium Grid 1"/>
    <w:basedOn w:val="TableNormal"/>
    <w:uiPriority w:val="67"/>
    <w:semiHidden/>
    <w:unhideWhenUsed/>
    <w:rsid w:val="009E6ED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9E6ED7"/>
    <w:tblPr>
      <w:tblStyleRowBandSize w:val="1"/>
      <w:tblStyleColBandSize w:val="1"/>
      <w:tblBorders>
        <w:top w:val="single" w:sz="8" w:space="0" w:color="2AD4FF" w:themeColor="accent1" w:themeTint="BF"/>
        <w:left w:val="single" w:sz="8" w:space="0" w:color="2AD4FF" w:themeColor="accent1" w:themeTint="BF"/>
        <w:bottom w:val="single" w:sz="8" w:space="0" w:color="2AD4FF" w:themeColor="accent1" w:themeTint="BF"/>
        <w:right w:val="single" w:sz="8" w:space="0" w:color="2AD4FF" w:themeColor="accent1" w:themeTint="BF"/>
        <w:insideH w:val="single" w:sz="8" w:space="0" w:color="2AD4FF" w:themeColor="accent1" w:themeTint="BF"/>
        <w:insideV w:val="single" w:sz="8" w:space="0" w:color="2AD4FF" w:themeColor="accent1" w:themeTint="BF"/>
      </w:tblBorders>
    </w:tblPr>
    <w:tcPr>
      <w:shd w:val="clear" w:color="auto" w:fill="B8F0FF" w:themeFill="accent1" w:themeFillTint="3F"/>
    </w:tcPr>
    <w:tblStylePr w:type="firstRow">
      <w:rPr>
        <w:b/>
        <w:bCs/>
      </w:rPr>
    </w:tblStylePr>
    <w:tblStylePr w:type="lastRow">
      <w:rPr>
        <w:b/>
        <w:bCs/>
      </w:rPr>
      <w:tblPr/>
      <w:tcPr>
        <w:tcBorders>
          <w:top w:val="single" w:sz="18" w:space="0" w:color="2AD4FF" w:themeColor="accent1" w:themeTint="BF"/>
        </w:tcBorders>
      </w:tcPr>
    </w:tblStylePr>
    <w:tblStylePr w:type="firstCol">
      <w:rPr>
        <w:b/>
        <w:bCs/>
      </w:rPr>
    </w:tblStylePr>
    <w:tblStylePr w:type="lastCol">
      <w:rPr>
        <w:b/>
        <w:bCs/>
      </w:rPr>
    </w:tblStylePr>
    <w:tblStylePr w:type="band1Vert">
      <w:tblPr/>
      <w:tcPr>
        <w:shd w:val="clear" w:color="auto" w:fill="71E2FF" w:themeFill="accent1" w:themeFillTint="7F"/>
      </w:tcPr>
    </w:tblStylePr>
    <w:tblStylePr w:type="band1Horz">
      <w:tblPr/>
      <w:tcPr>
        <w:shd w:val="clear" w:color="auto" w:fill="71E2FF" w:themeFill="accent1" w:themeFillTint="7F"/>
      </w:tcPr>
    </w:tblStylePr>
  </w:style>
  <w:style w:type="table" w:styleId="MediumGrid1-Accent2">
    <w:name w:val="Medium Grid 1 Accent 2"/>
    <w:basedOn w:val="TableNormal"/>
    <w:uiPriority w:val="67"/>
    <w:semiHidden/>
    <w:unhideWhenUsed/>
    <w:rsid w:val="009E6ED7"/>
    <w:tblPr>
      <w:tblStyleRowBandSize w:val="1"/>
      <w:tblStyleColBandSize w:val="1"/>
      <w:tblBorders>
        <w:top w:val="single" w:sz="8" w:space="0" w:color="B6FF0E" w:themeColor="accent2" w:themeTint="BF"/>
        <w:left w:val="single" w:sz="8" w:space="0" w:color="B6FF0E" w:themeColor="accent2" w:themeTint="BF"/>
        <w:bottom w:val="single" w:sz="8" w:space="0" w:color="B6FF0E" w:themeColor="accent2" w:themeTint="BF"/>
        <w:right w:val="single" w:sz="8" w:space="0" w:color="B6FF0E" w:themeColor="accent2" w:themeTint="BF"/>
        <w:insideH w:val="single" w:sz="8" w:space="0" w:color="B6FF0E" w:themeColor="accent2" w:themeTint="BF"/>
        <w:insideV w:val="single" w:sz="8" w:space="0" w:color="B6FF0E" w:themeColor="accent2" w:themeTint="BF"/>
      </w:tblBorders>
    </w:tblPr>
    <w:tcPr>
      <w:shd w:val="clear" w:color="auto" w:fill="E7FFAF" w:themeFill="accent2" w:themeFillTint="3F"/>
    </w:tcPr>
    <w:tblStylePr w:type="firstRow">
      <w:rPr>
        <w:b/>
        <w:bCs/>
      </w:rPr>
    </w:tblStylePr>
    <w:tblStylePr w:type="lastRow">
      <w:rPr>
        <w:b/>
        <w:bCs/>
      </w:rPr>
      <w:tblPr/>
      <w:tcPr>
        <w:tcBorders>
          <w:top w:val="single" w:sz="18" w:space="0" w:color="B6FF0E" w:themeColor="accent2" w:themeTint="BF"/>
        </w:tcBorders>
      </w:tcPr>
    </w:tblStylePr>
    <w:tblStylePr w:type="firstCol">
      <w:rPr>
        <w:b/>
        <w:bCs/>
      </w:rPr>
    </w:tblStylePr>
    <w:tblStylePr w:type="lastCol">
      <w:rPr>
        <w:b/>
        <w:bCs/>
      </w:rPr>
    </w:tblStylePr>
    <w:tblStylePr w:type="band1Vert">
      <w:tblPr/>
      <w:tcPr>
        <w:shd w:val="clear" w:color="auto" w:fill="CEFF5F" w:themeFill="accent2" w:themeFillTint="7F"/>
      </w:tcPr>
    </w:tblStylePr>
    <w:tblStylePr w:type="band1Horz">
      <w:tblPr/>
      <w:tcPr>
        <w:shd w:val="clear" w:color="auto" w:fill="CEFF5F" w:themeFill="accent2" w:themeFillTint="7F"/>
      </w:tcPr>
    </w:tblStylePr>
  </w:style>
  <w:style w:type="table" w:styleId="MediumGrid1-Accent3">
    <w:name w:val="Medium Grid 1 Accent 3"/>
    <w:basedOn w:val="TableNormal"/>
    <w:uiPriority w:val="67"/>
    <w:semiHidden/>
    <w:unhideWhenUsed/>
    <w:rsid w:val="009E6ED7"/>
    <w:tblPr>
      <w:tblStyleRowBandSize w:val="1"/>
      <w:tblStyleColBandSize w:val="1"/>
      <w:tblBorders>
        <w:top w:val="single" w:sz="8" w:space="0" w:color="F8A757" w:themeColor="accent3" w:themeTint="BF"/>
        <w:left w:val="single" w:sz="8" w:space="0" w:color="F8A757" w:themeColor="accent3" w:themeTint="BF"/>
        <w:bottom w:val="single" w:sz="8" w:space="0" w:color="F8A757" w:themeColor="accent3" w:themeTint="BF"/>
        <w:right w:val="single" w:sz="8" w:space="0" w:color="F8A757" w:themeColor="accent3" w:themeTint="BF"/>
        <w:insideH w:val="single" w:sz="8" w:space="0" w:color="F8A757" w:themeColor="accent3" w:themeTint="BF"/>
        <w:insideV w:val="single" w:sz="8" w:space="0" w:color="F8A757" w:themeColor="accent3" w:themeTint="BF"/>
      </w:tblBorders>
    </w:tblPr>
    <w:tcPr>
      <w:shd w:val="clear" w:color="auto" w:fill="FCE2C7" w:themeFill="accent3" w:themeFillTint="3F"/>
    </w:tcPr>
    <w:tblStylePr w:type="firstRow">
      <w:rPr>
        <w:b/>
        <w:bCs/>
      </w:rPr>
    </w:tblStylePr>
    <w:tblStylePr w:type="lastRow">
      <w:rPr>
        <w:b/>
        <w:bCs/>
      </w:rPr>
      <w:tblPr/>
      <w:tcPr>
        <w:tcBorders>
          <w:top w:val="single" w:sz="18" w:space="0" w:color="F8A757" w:themeColor="accent3" w:themeTint="BF"/>
        </w:tcBorders>
      </w:tcPr>
    </w:tblStylePr>
    <w:tblStylePr w:type="firstCol">
      <w:rPr>
        <w:b/>
        <w:bCs/>
      </w:rPr>
    </w:tblStylePr>
    <w:tblStylePr w:type="lastCol">
      <w:rPr>
        <w:b/>
        <w:bCs/>
      </w:rPr>
    </w:tblStylePr>
    <w:tblStylePr w:type="band1Vert">
      <w:tblPr/>
      <w:tcPr>
        <w:shd w:val="clear" w:color="auto" w:fill="FAC58F" w:themeFill="accent3" w:themeFillTint="7F"/>
      </w:tcPr>
    </w:tblStylePr>
    <w:tblStylePr w:type="band1Horz">
      <w:tblPr/>
      <w:tcPr>
        <w:shd w:val="clear" w:color="auto" w:fill="FAC58F" w:themeFill="accent3" w:themeFillTint="7F"/>
      </w:tcPr>
    </w:tblStylePr>
  </w:style>
  <w:style w:type="table" w:styleId="MediumGrid1-Accent4">
    <w:name w:val="Medium Grid 1 Accent 4"/>
    <w:basedOn w:val="TableNormal"/>
    <w:uiPriority w:val="67"/>
    <w:semiHidden/>
    <w:unhideWhenUsed/>
    <w:rsid w:val="009E6ED7"/>
    <w:tblPr>
      <w:tblStyleRowBandSize w:val="1"/>
      <w:tblStyleColBandSize w:val="1"/>
      <w:tblBorders>
        <w:top w:val="single" w:sz="8" w:space="0" w:color="F600C4" w:themeColor="accent4" w:themeTint="BF"/>
        <w:left w:val="single" w:sz="8" w:space="0" w:color="F600C4" w:themeColor="accent4" w:themeTint="BF"/>
        <w:bottom w:val="single" w:sz="8" w:space="0" w:color="F600C4" w:themeColor="accent4" w:themeTint="BF"/>
        <w:right w:val="single" w:sz="8" w:space="0" w:color="F600C4" w:themeColor="accent4" w:themeTint="BF"/>
        <w:insideH w:val="single" w:sz="8" w:space="0" w:color="F600C4" w:themeColor="accent4" w:themeTint="BF"/>
        <w:insideV w:val="single" w:sz="8" w:space="0" w:color="F600C4" w:themeColor="accent4" w:themeTint="BF"/>
      </w:tblBorders>
    </w:tblPr>
    <w:tcPr>
      <w:shd w:val="clear" w:color="auto" w:fill="FFA8ED" w:themeFill="accent4" w:themeFillTint="3F"/>
    </w:tcPr>
    <w:tblStylePr w:type="firstRow">
      <w:rPr>
        <w:b/>
        <w:bCs/>
      </w:rPr>
    </w:tblStylePr>
    <w:tblStylePr w:type="lastRow">
      <w:rPr>
        <w:b/>
        <w:bCs/>
      </w:rPr>
      <w:tblPr/>
      <w:tcPr>
        <w:tcBorders>
          <w:top w:val="single" w:sz="18" w:space="0" w:color="F600C4" w:themeColor="accent4" w:themeTint="BF"/>
        </w:tcBorders>
      </w:tcPr>
    </w:tblStylePr>
    <w:tblStylePr w:type="firstCol">
      <w:rPr>
        <w:b/>
        <w:bCs/>
      </w:rPr>
    </w:tblStylePr>
    <w:tblStylePr w:type="lastCol">
      <w:rPr>
        <w:b/>
        <w:bCs/>
      </w:rPr>
    </w:tblStylePr>
    <w:tblStylePr w:type="band1Vert">
      <w:tblPr/>
      <w:tcPr>
        <w:shd w:val="clear" w:color="auto" w:fill="FF4FDB" w:themeFill="accent4" w:themeFillTint="7F"/>
      </w:tcPr>
    </w:tblStylePr>
    <w:tblStylePr w:type="band1Horz">
      <w:tblPr/>
      <w:tcPr>
        <w:shd w:val="clear" w:color="auto" w:fill="FF4FDB" w:themeFill="accent4" w:themeFillTint="7F"/>
      </w:tcPr>
    </w:tblStylePr>
  </w:style>
  <w:style w:type="table" w:styleId="MediumGrid1-Accent5">
    <w:name w:val="Medium Grid 1 Accent 5"/>
    <w:basedOn w:val="TableNormal"/>
    <w:uiPriority w:val="67"/>
    <w:semiHidden/>
    <w:unhideWhenUsed/>
    <w:rsid w:val="009E6ED7"/>
    <w:tblPr>
      <w:tblStyleRowBandSize w:val="1"/>
      <w:tblStyleColBandSize w:val="1"/>
      <w:tblBorders>
        <w:top w:val="single" w:sz="8" w:space="0" w:color="FFEB4D" w:themeColor="accent5" w:themeTint="BF"/>
        <w:left w:val="single" w:sz="8" w:space="0" w:color="FFEB4D" w:themeColor="accent5" w:themeTint="BF"/>
        <w:bottom w:val="single" w:sz="8" w:space="0" w:color="FFEB4D" w:themeColor="accent5" w:themeTint="BF"/>
        <w:right w:val="single" w:sz="8" w:space="0" w:color="FFEB4D" w:themeColor="accent5" w:themeTint="BF"/>
        <w:insideH w:val="single" w:sz="8" w:space="0" w:color="FFEB4D" w:themeColor="accent5" w:themeTint="BF"/>
        <w:insideV w:val="single" w:sz="8" w:space="0" w:color="FFEB4D" w:themeColor="accent5" w:themeTint="BF"/>
      </w:tblBorders>
    </w:tblPr>
    <w:tcPr>
      <w:shd w:val="clear" w:color="auto" w:fill="FFF8C4" w:themeFill="accent5" w:themeFillTint="3F"/>
    </w:tcPr>
    <w:tblStylePr w:type="firstRow">
      <w:rPr>
        <w:b/>
        <w:bCs/>
      </w:rPr>
    </w:tblStylePr>
    <w:tblStylePr w:type="lastRow">
      <w:rPr>
        <w:b/>
        <w:bCs/>
      </w:rPr>
      <w:tblPr/>
      <w:tcPr>
        <w:tcBorders>
          <w:top w:val="single" w:sz="18" w:space="0" w:color="FFEB4D" w:themeColor="accent5" w:themeTint="BF"/>
        </w:tcBorders>
      </w:tcPr>
    </w:tblStylePr>
    <w:tblStylePr w:type="firstCol">
      <w:rPr>
        <w:b/>
        <w:bCs/>
      </w:rPr>
    </w:tblStylePr>
    <w:tblStylePr w:type="lastCol">
      <w:rPr>
        <w:b/>
        <w:bCs/>
      </w:rPr>
    </w:tblStylePr>
    <w:tblStylePr w:type="band1Vert">
      <w:tblPr/>
      <w:tcPr>
        <w:shd w:val="clear" w:color="auto" w:fill="FFF288" w:themeFill="accent5" w:themeFillTint="7F"/>
      </w:tcPr>
    </w:tblStylePr>
    <w:tblStylePr w:type="band1Horz">
      <w:tblPr/>
      <w:tcPr>
        <w:shd w:val="clear" w:color="auto" w:fill="FFF288" w:themeFill="accent5" w:themeFillTint="7F"/>
      </w:tcPr>
    </w:tblStylePr>
  </w:style>
  <w:style w:type="table" w:styleId="MediumGrid1-Accent6">
    <w:name w:val="Medium Grid 1 Accent 6"/>
    <w:basedOn w:val="TableNormal"/>
    <w:uiPriority w:val="67"/>
    <w:semiHidden/>
    <w:unhideWhenUsed/>
    <w:rsid w:val="009E6ED7"/>
    <w:tblPr>
      <w:tblStyleRowBandSize w:val="1"/>
      <w:tblStyleColBandSize w:val="1"/>
      <w:tblBorders>
        <w:top w:val="single" w:sz="8" w:space="0" w:color="A8A19A" w:themeColor="accent6" w:themeTint="BF"/>
        <w:left w:val="single" w:sz="8" w:space="0" w:color="A8A19A" w:themeColor="accent6" w:themeTint="BF"/>
        <w:bottom w:val="single" w:sz="8" w:space="0" w:color="A8A19A" w:themeColor="accent6" w:themeTint="BF"/>
        <w:right w:val="single" w:sz="8" w:space="0" w:color="A8A19A" w:themeColor="accent6" w:themeTint="BF"/>
        <w:insideH w:val="single" w:sz="8" w:space="0" w:color="A8A19A" w:themeColor="accent6" w:themeTint="BF"/>
        <w:insideV w:val="single" w:sz="8" w:space="0" w:color="A8A19A" w:themeColor="accent6" w:themeTint="BF"/>
      </w:tblBorders>
    </w:tblPr>
    <w:tcPr>
      <w:shd w:val="clear" w:color="auto" w:fill="E2E0DD" w:themeFill="accent6" w:themeFillTint="3F"/>
    </w:tcPr>
    <w:tblStylePr w:type="firstRow">
      <w:rPr>
        <w:b/>
        <w:bCs/>
      </w:rPr>
    </w:tblStylePr>
    <w:tblStylePr w:type="lastRow">
      <w:rPr>
        <w:b/>
        <w:bCs/>
      </w:rPr>
      <w:tblPr/>
      <w:tcPr>
        <w:tcBorders>
          <w:top w:val="single" w:sz="18" w:space="0" w:color="A8A19A" w:themeColor="accent6" w:themeTint="BF"/>
        </w:tcBorders>
      </w:tcPr>
    </w:tblStylePr>
    <w:tblStylePr w:type="firstCol">
      <w:rPr>
        <w:b/>
        <w:bCs/>
      </w:rPr>
    </w:tblStylePr>
    <w:tblStylePr w:type="lastCol">
      <w:rPr>
        <w:b/>
        <w:bCs/>
      </w:rPr>
    </w:tblStylePr>
    <w:tblStylePr w:type="band1Vert">
      <w:tblPr/>
      <w:tcPr>
        <w:shd w:val="clear" w:color="auto" w:fill="C5C0BC" w:themeFill="accent6" w:themeFillTint="7F"/>
      </w:tcPr>
    </w:tblStylePr>
    <w:tblStylePr w:type="band1Horz">
      <w:tblPr/>
      <w:tcPr>
        <w:shd w:val="clear" w:color="auto" w:fill="C5C0BC" w:themeFill="accent6" w:themeFillTint="7F"/>
      </w:tcPr>
    </w:tblStylePr>
  </w:style>
  <w:style w:type="table" w:styleId="MediumGrid2">
    <w:name w:val="Medium Grid 2"/>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B5E2" w:themeColor="accent1"/>
        <w:left w:val="single" w:sz="8" w:space="0" w:color="00B5E2" w:themeColor="accent1"/>
        <w:bottom w:val="single" w:sz="8" w:space="0" w:color="00B5E2" w:themeColor="accent1"/>
        <w:right w:val="single" w:sz="8" w:space="0" w:color="00B5E2" w:themeColor="accent1"/>
        <w:insideH w:val="single" w:sz="8" w:space="0" w:color="00B5E2" w:themeColor="accent1"/>
        <w:insideV w:val="single" w:sz="8" w:space="0" w:color="00B5E2" w:themeColor="accent1"/>
      </w:tblBorders>
    </w:tblPr>
    <w:tcPr>
      <w:shd w:val="clear" w:color="auto" w:fill="B8F0FF" w:themeFill="accent1" w:themeFillTint="3F"/>
    </w:tcPr>
    <w:tblStylePr w:type="firstRow">
      <w:rPr>
        <w:b/>
        <w:bCs/>
        <w:color w:val="000000" w:themeColor="text1"/>
      </w:rPr>
      <w:tblPr/>
      <w:tcPr>
        <w:shd w:val="clear" w:color="auto" w:fill="E3F9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6F3FF" w:themeFill="accent1" w:themeFillTint="33"/>
      </w:tcPr>
    </w:tblStylePr>
    <w:tblStylePr w:type="band1Vert">
      <w:tblPr/>
      <w:tcPr>
        <w:shd w:val="clear" w:color="auto" w:fill="71E2FF" w:themeFill="accent1" w:themeFillTint="7F"/>
      </w:tcPr>
    </w:tblStylePr>
    <w:tblStylePr w:type="band1Horz">
      <w:tblPr/>
      <w:tcPr>
        <w:tcBorders>
          <w:insideH w:val="single" w:sz="6" w:space="0" w:color="00B5E2" w:themeColor="accent1"/>
          <w:insideV w:val="single" w:sz="6" w:space="0" w:color="00B5E2" w:themeColor="accent1"/>
        </w:tcBorders>
        <w:shd w:val="clear" w:color="auto" w:fill="71E2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84BD00" w:themeColor="accent2"/>
        <w:left w:val="single" w:sz="8" w:space="0" w:color="84BD00" w:themeColor="accent2"/>
        <w:bottom w:val="single" w:sz="8" w:space="0" w:color="84BD00" w:themeColor="accent2"/>
        <w:right w:val="single" w:sz="8" w:space="0" w:color="84BD00" w:themeColor="accent2"/>
        <w:insideH w:val="single" w:sz="8" w:space="0" w:color="84BD00" w:themeColor="accent2"/>
        <w:insideV w:val="single" w:sz="8" w:space="0" w:color="84BD00" w:themeColor="accent2"/>
      </w:tblBorders>
    </w:tblPr>
    <w:tcPr>
      <w:shd w:val="clear" w:color="auto" w:fill="E7FFAF" w:themeFill="accent2" w:themeFillTint="3F"/>
    </w:tcPr>
    <w:tblStylePr w:type="firstRow">
      <w:rPr>
        <w:b/>
        <w:bCs/>
        <w:color w:val="000000" w:themeColor="text1"/>
      </w:rPr>
      <w:tblPr/>
      <w:tcPr>
        <w:shd w:val="clear" w:color="auto" w:fill="F5F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BFFBE" w:themeFill="accent2" w:themeFillTint="33"/>
      </w:tcPr>
    </w:tblStylePr>
    <w:tblStylePr w:type="band1Vert">
      <w:tblPr/>
      <w:tcPr>
        <w:shd w:val="clear" w:color="auto" w:fill="CEFF5F" w:themeFill="accent2" w:themeFillTint="7F"/>
      </w:tcPr>
    </w:tblStylePr>
    <w:tblStylePr w:type="band1Horz">
      <w:tblPr/>
      <w:tcPr>
        <w:tcBorders>
          <w:insideH w:val="single" w:sz="6" w:space="0" w:color="84BD00" w:themeColor="accent2"/>
          <w:insideV w:val="single" w:sz="6" w:space="0" w:color="84BD00" w:themeColor="accent2"/>
        </w:tcBorders>
        <w:shd w:val="clear" w:color="auto" w:fill="CEFF5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F68B1F" w:themeColor="accent3"/>
        <w:left w:val="single" w:sz="8" w:space="0" w:color="F68B1F" w:themeColor="accent3"/>
        <w:bottom w:val="single" w:sz="8" w:space="0" w:color="F68B1F" w:themeColor="accent3"/>
        <w:right w:val="single" w:sz="8" w:space="0" w:color="F68B1F" w:themeColor="accent3"/>
        <w:insideH w:val="single" w:sz="8" w:space="0" w:color="F68B1F" w:themeColor="accent3"/>
        <w:insideV w:val="single" w:sz="8" w:space="0" w:color="F68B1F" w:themeColor="accent3"/>
      </w:tblBorders>
    </w:tblPr>
    <w:tcPr>
      <w:shd w:val="clear" w:color="auto" w:fill="FCE2C7" w:themeFill="accent3" w:themeFillTint="3F"/>
    </w:tcPr>
    <w:tblStylePr w:type="firstRow">
      <w:rPr>
        <w:b/>
        <w:bCs/>
        <w:color w:val="000000" w:themeColor="text1"/>
      </w:rPr>
      <w:tblPr/>
      <w:tcPr>
        <w:shd w:val="clear" w:color="auto" w:fill="FEF3E8"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7D2" w:themeFill="accent3" w:themeFillTint="33"/>
      </w:tcPr>
    </w:tblStylePr>
    <w:tblStylePr w:type="band1Vert">
      <w:tblPr/>
      <w:tcPr>
        <w:shd w:val="clear" w:color="auto" w:fill="FAC58F" w:themeFill="accent3" w:themeFillTint="7F"/>
      </w:tcPr>
    </w:tblStylePr>
    <w:tblStylePr w:type="band1Horz">
      <w:tblPr/>
      <w:tcPr>
        <w:tcBorders>
          <w:insideH w:val="single" w:sz="6" w:space="0" w:color="F68B1F" w:themeColor="accent3"/>
          <w:insideV w:val="single" w:sz="6" w:space="0" w:color="F68B1F" w:themeColor="accent3"/>
        </w:tcBorders>
        <w:shd w:val="clear" w:color="auto" w:fill="FAC58F"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9E007E" w:themeColor="accent4"/>
        <w:left w:val="single" w:sz="8" w:space="0" w:color="9E007E" w:themeColor="accent4"/>
        <w:bottom w:val="single" w:sz="8" w:space="0" w:color="9E007E" w:themeColor="accent4"/>
        <w:right w:val="single" w:sz="8" w:space="0" w:color="9E007E" w:themeColor="accent4"/>
        <w:insideH w:val="single" w:sz="8" w:space="0" w:color="9E007E" w:themeColor="accent4"/>
        <w:insideV w:val="single" w:sz="8" w:space="0" w:color="9E007E" w:themeColor="accent4"/>
      </w:tblBorders>
    </w:tblPr>
    <w:tcPr>
      <w:shd w:val="clear" w:color="auto" w:fill="FFA8ED" w:themeFill="accent4" w:themeFillTint="3F"/>
    </w:tcPr>
    <w:tblStylePr w:type="firstRow">
      <w:rPr>
        <w:b/>
        <w:bCs/>
        <w:color w:val="000000" w:themeColor="text1"/>
      </w:rPr>
      <w:tblPr/>
      <w:tcPr>
        <w:shd w:val="clear" w:color="auto" w:fill="FFDC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8F0" w:themeFill="accent4" w:themeFillTint="33"/>
      </w:tcPr>
    </w:tblStylePr>
    <w:tblStylePr w:type="band1Vert">
      <w:tblPr/>
      <w:tcPr>
        <w:shd w:val="clear" w:color="auto" w:fill="FF4FDB" w:themeFill="accent4" w:themeFillTint="7F"/>
      </w:tcPr>
    </w:tblStylePr>
    <w:tblStylePr w:type="band1Horz">
      <w:tblPr/>
      <w:tcPr>
        <w:tcBorders>
          <w:insideH w:val="single" w:sz="6" w:space="0" w:color="9E007E" w:themeColor="accent4"/>
          <w:insideV w:val="single" w:sz="6" w:space="0" w:color="9E007E" w:themeColor="accent4"/>
        </w:tcBorders>
        <w:shd w:val="clear" w:color="auto" w:fill="FF4FDB"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FFE512" w:themeColor="accent5"/>
        <w:left w:val="single" w:sz="8" w:space="0" w:color="FFE512" w:themeColor="accent5"/>
        <w:bottom w:val="single" w:sz="8" w:space="0" w:color="FFE512" w:themeColor="accent5"/>
        <w:right w:val="single" w:sz="8" w:space="0" w:color="FFE512" w:themeColor="accent5"/>
        <w:insideH w:val="single" w:sz="8" w:space="0" w:color="FFE512" w:themeColor="accent5"/>
        <w:insideV w:val="single" w:sz="8" w:space="0" w:color="FFE512" w:themeColor="accent5"/>
      </w:tblBorders>
    </w:tblPr>
    <w:tcPr>
      <w:shd w:val="clear" w:color="auto" w:fill="FFF8C4" w:themeFill="accent5" w:themeFillTint="3F"/>
    </w:tcPr>
    <w:tblStylePr w:type="firstRow">
      <w:rPr>
        <w:b/>
        <w:bCs/>
        <w:color w:val="000000" w:themeColor="text1"/>
      </w:rPr>
      <w:tblPr/>
      <w:tcPr>
        <w:shd w:val="clear" w:color="auto" w:fill="FFFCE7"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9CF" w:themeFill="accent5" w:themeFillTint="33"/>
      </w:tcPr>
    </w:tblStylePr>
    <w:tblStylePr w:type="band1Vert">
      <w:tblPr/>
      <w:tcPr>
        <w:shd w:val="clear" w:color="auto" w:fill="FFF288" w:themeFill="accent5" w:themeFillTint="7F"/>
      </w:tcPr>
    </w:tblStylePr>
    <w:tblStylePr w:type="band1Horz">
      <w:tblPr/>
      <w:tcPr>
        <w:tcBorders>
          <w:insideH w:val="single" w:sz="6" w:space="0" w:color="FFE512" w:themeColor="accent5"/>
          <w:insideV w:val="single" w:sz="6" w:space="0" w:color="FFE512" w:themeColor="accent5"/>
        </w:tcBorders>
        <w:shd w:val="clear" w:color="auto" w:fill="FFF288"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8C8279" w:themeColor="accent6"/>
        <w:left w:val="single" w:sz="8" w:space="0" w:color="8C8279" w:themeColor="accent6"/>
        <w:bottom w:val="single" w:sz="8" w:space="0" w:color="8C8279" w:themeColor="accent6"/>
        <w:right w:val="single" w:sz="8" w:space="0" w:color="8C8279" w:themeColor="accent6"/>
        <w:insideH w:val="single" w:sz="8" w:space="0" w:color="8C8279" w:themeColor="accent6"/>
        <w:insideV w:val="single" w:sz="8" w:space="0" w:color="8C8279" w:themeColor="accent6"/>
      </w:tblBorders>
    </w:tblPr>
    <w:tcPr>
      <w:shd w:val="clear" w:color="auto" w:fill="E2E0DD" w:themeFill="accent6" w:themeFillTint="3F"/>
    </w:tcPr>
    <w:tblStylePr w:type="firstRow">
      <w:rPr>
        <w:b/>
        <w:bCs/>
        <w:color w:val="000000" w:themeColor="text1"/>
      </w:rPr>
      <w:tblPr/>
      <w:tcPr>
        <w:shd w:val="clear" w:color="auto" w:fill="F3F2F1"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8E5E4" w:themeFill="accent6" w:themeFillTint="33"/>
      </w:tcPr>
    </w:tblStylePr>
    <w:tblStylePr w:type="band1Vert">
      <w:tblPr/>
      <w:tcPr>
        <w:shd w:val="clear" w:color="auto" w:fill="C5C0BC" w:themeFill="accent6" w:themeFillTint="7F"/>
      </w:tcPr>
    </w:tblStylePr>
    <w:tblStylePr w:type="band1Horz">
      <w:tblPr/>
      <w:tcPr>
        <w:tcBorders>
          <w:insideH w:val="single" w:sz="6" w:space="0" w:color="8C8279" w:themeColor="accent6"/>
          <w:insideV w:val="single" w:sz="6" w:space="0" w:color="8C8279" w:themeColor="accent6"/>
        </w:tcBorders>
        <w:shd w:val="clear" w:color="auto" w:fill="C5C0BC"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8F0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5E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5E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5E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5E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1E2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1E2FF" w:themeFill="accent1" w:themeFillTint="7F"/>
      </w:tcPr>
    </w:tblStylePr>
  </w:style>
  <w:style w:type="table" w:styleId="MediumGrid3-Accent2">
    <w:name w:val="Medium Grid 3 Accent 2"/>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7FFA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4BD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4BD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4BD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4BD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EFF5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EFF5F" w:themeFill="accent2" w:themeFillTint="7F"/>
      </w:tcPr>
    </w:tblStylePr>
  </w:style>
  <w:style w:type="table" w:styleId="MediumGrid3-Accent3">
    <w:name w:val="Medium Grid 3 Accent 3"/>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CE2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68B1F"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68B1F"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68B1F"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68B1F"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AC58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AC58F" w:themeFill="accent3" w:themeFillTint="7F"/>
      </w:tcPr>
    </w:tblStylePr>
  </w:style>
  <w:style w:type="table" w:styleId="MediumGrid3-Accent4">
    <w:name w:val="Medium Grid 3 Accent 4"/>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A8ED"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E007E"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E007E"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E007E"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E007E"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4FDB"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4FDB" w:themeFill="accent4" w:themeFillTint="7F"/>
      </w:tcPr>
    </w:tblStylePr>
  </w:style>
  <w:style w:type="table" w:styleId="MediumGrid3-Accent5">
    <w:name w:val="Medium Grid 3 Accent 5"/>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8C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E512"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E512"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E512"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E512"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F288"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F288" w:themeFill="accent5" w:themeFillTint="7F"/>
      </w:tcPr>
    </w:tblStylePr>
  </w:style>
  <w:style w:type="table" w:styleId="MediumGrid3-Accent6">
    <w:name w:val="Medium Grid 3 Accent 6"/>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2E0DD"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C8279"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C8279"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C8279"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C8279"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5C0BC"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5C0BC" w:themeFill="accent6" w:themeFillTint="7F"/>
      </w:tcPr>
    </w:tblStylePr>
  </w:style>
  <w:style w:type="table" w:styleId="MediumList1">
    <w:name w:val="Medium List 1"/>
    <w:basedOn w:val="TableNormal"/>
    <w:uiPriority w:val="65"/>
    <w:semiHidden/>
    <w:unhideWhenUsed/>
    <w:rsid w:val="009E6ED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000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9E6ED7"/>
    <w:rPr>
      <w:color w:val="000000" w:themeColor="text1"/>
    </w:rPr>
    <w:tblPr>
      <w:tblStyleRowBandSize w:val="1"/>
      <w:tblStyleColBandSize w:val="1"/>
      <w:tblBorders>
        <w:top w:val="single" w:sz="8" w:space="0" w:color="00B5E2" w:themeColor="accent1"/>
        <w:bottom w:val="single" w:sz="8" w:space="0" w:color="00B5E2" w:themeColor="accent1"/>
      </w:tblBorders>
    </w:tblPr>
    <w:tblStylePr w:type="firstRow">
      <w:rPr>
        <w:rFonts w:asciiTheme="majorHAnsi" w:eastAsiaTheme="majorEastAsia" w:hAnsiTheme="majorHAnsi" w:cstheme="majorBidi"/>
      </w:rPr>
      <w:tblPr/>
      <w:tcPr>
        <w:tcBorders>
          <w:top w:val="nil"/>
          <w:bottom w:val="single" w:sz="8" w:space="0" w:color="00B5E2" w:themeColor="accent1"/>
        </w:tcBorders>
      </w:tcPr>
    </w:tblStylePr>
    <w:tblStylePr w:type="lastRow">
      <w:rPr>
        <w:b/>
        <w:bCs/>
        <w:color w:val="000000" w:themeColor="text2"/>
      </w:rPr>
      <w:tblPr/>
      <w:tcPr>
        <w:tcBorders>
          <w:top w:val="single" w:sz="8" w:space="0" w:color="00B5E2" w:themeColor="accent1"/>
          <w:bottom w:val="single" w:sz="8" w:space="0" w:color="00B5E2" w:themeColor="accent1"/>
        </w:tcBorders>
      </w:tcPr>
    </w:tblStylePr>
    <w:tblStylePr w:type="firstCol">
      <w:rPr>
        <w:b/>
        <w:bCs/>
      </w:rPr>
    </w:tblStylePr>
    <w:tblStylePr w:type="lastCol">
      <w:rPr>
        <w:b/>
        <w:bCs/>
      </w:rPr>
      <w:tblPr/>
      <w:tcPr>
        <w:tcBorders>
          <w:top w:val="single" w:sz="8" w:space="0" w:color="00B5E2" w:themeColor="accent1"/>
          <w:bottom w:val="single" w:sz="8" w:space="0" w:color="00B5E2" w:themeColor="accent1"/>
        </w:tcBorders>
      </w:tcPr>
    </w:tblStylePr>
    <w:tblStylePr w:type="band1Vert">
      <w:tblPr/>
      <w:tcPr>
        <w:shd w:val="clear" w:color="auto" w:fill="B8F0FF" w:themeFill="accent1" w:themeFillTint="3F"/>
      </w:tcPr>
    </w:tblStylePr>
    <w:tblStylePr w:type="band1Horz">
      <w:tblPr/>
      <w:tcPr>
        <w:shd w:val="clear" w:color="auto" w:fill="B8F0FF" w:themeFill="accent1" w:themeFillTint="3F"/>
      </w:tcPr>
    </w:tblStylePr>
  </w:style>
  <w:style w:type="table" w:styleId="MediumList1-Accent2">
    <w:name w:val="Medium List 1 Accent 2"/>
    <w:basedOn w:val="TableNormal"/>
    <w:uiPriority w:val="65"/>
    <w:semiHidden/>
    <w:unhideWhenUsed/>
    <w:rsid w:val="009E6ED7"/>
    <w:rPr>
      <w:color w:val="000000" w:themeColor="text1"/>
    </w:rPr>
    <w:tblPr>
      <w:tblStyleRowBandSize w:val="1"/>
      <w:tblStyleColBandSize w:val="1"/>
      <w:tblBorders>
        <w:top w:val="single" w:sz="8" w:space="0" w:color="84BD00" w:themeColor="accent2"/>
        <w:bottom w:val="single" w:sz="8" w:space="0" w:color="84BD00" w:themeColor="accent2"/>
      </w:tblBorders>
    </w:tblPr>
    <w:tblStylePr w:type="firstRow">
      <w:rPr>
        <w:rFonts w:asciiTheme="majorHAnsi" w:eastAsiaTheme="majorEastAsia" w:hAnsiTheme="majorHAnsi" w:cstheme="majorBidi"/>
      </w:rPr>
      <w:tblPr/>
      <w:tcPr>
        <w:tcBorders>
          <w:top w:val="nil"/>
          <w:bottom w:val="single" w:sz="8" w:space="0" w:color="84BD00" w:themeColor="accent2"/>
        </w:tcBorders>
      </w:tcPr>
    </w:tblStylePr>
    <w:tblStylePr w:type="lastRow">
      <w:rPr>
        <w:b/>
        <w:bCs/>
        <w:color w:val="000000" w:themeColor="text2"/>
      </w:rPr>
      <w:tblPr/>
      <w:tcPr>
        <w:tcBorders>
          <w:top w:val="single" w:sz="8" w:space="0" w:color="84BD00" w:themeColor="accent2"/>
          <w:bottom w:val="single" w:sz="8" w:space="0" w:color="84BD00" w:themeColor="accent2"/>
        </w:tcBorders>
      </w:tcPr>
    </w:tblStylePr>
    <w:tblStylePr w:type="firstCol">
      <w:rPr>
        <w:b/>
        <w:bCs/>
      </w:rPr>
    </w:tblStylePr>
    <w:tblStylePr w:type="lastCol">
      <w:rPr>
        <w:b/>
        <w:bCs/>
      </w:rPr>
      <w:tblPr/>
      <w:tcPr>
        <w:tcBorders>
          <w:top w:val="single" w:sz="8" w:space="0" w:color="84BD00" w:themeColor="accent2"/>
          <w:bottom w:val="single" w:sz="8" w:space="0" w:color="84BD00" w:themeColor="accent2"/>
        </w:tcBorders>
      </w:tcPr>
    </w:tblStylePr>
    <w:tblStylePr w:type="band1Vert">
      <w:tblPr/>
      <w:tcPr>
        <w:shd w:val="clear" w:color="auto" w:fill="E7FFAF" w:themeFill="accent2" w:themeFillTint="3F"/>
      </w:tcPr>
    </w:tblStylePr>
    <w:tblStylePr w:type="band1Horz">
      <w:tblPr/>
      <w:tcPr>
        <w:shd w:val="clear" w:color="auto" w:fill="E7FFAF" w:themeFill="accent2" w:themeFillTint="3F"/>
      </w:tcPr>
    </w:tblStylePr>
  </w:style>
  <w:style w:type="table" w:styleId="MediumList1-Accent3">
    <w:name w:val="Medium List 1 Accent 3"/>
    <w:basedOn w:val="TableNormal"/>
    <w:uiPriority w:val="65"/>
    <w:semiHidden/>
    <w:unhideWhenUsed/>
    <w:rsid w:val="009E6ED7"/>
    <w:rPr>
      <w:color w:val="000000" w:themeColor="text1"/>
    </w:rPr>
    <w:tblPr>
      <w:tblStyleRowBandSize w:val="1"/>
      <w:tblStyleColBandSize w:val="1"/>
      <w:tblBorders>
        <w:top w:val="single" w:sz="8" w:space="0" w:color="F68B1F" w:themeColor="accent3"/>
        <w:bottom w:val="single" w:sz="8" w:space="0" w:color="F68B1F" w:themeColor="accent3"/>
      </w:tblBorders>
    </w:tblPr>
    <w:tblStylePr w:type="firstRow">
      <w:rPr>
        <w:rFonts w:asciiTheme="majorHAnsi" w:eastAsiaTheme="majorEastAsia" w:hAnsiTheme="majorHAnsi" w:cstheme="majorBidi"/>
      </w:rPr>
      <w:tblPr/>
      <w:tcPr>
        <w:tcBorders>
          <w:top w:val="nil"/>
          <w:bottom w:val="single" w:sz="8" w:space="0" w:color="F68B1F" w:themeColor="accent3"/>
        </w:tcBorders>
      </w:tcPr>
    </w:tblStylePr>
    <w:tblStylePr w:type="lastRow">
      <w:rPr>
        <w:b/>
        <w:bCs/>
        <w:color w:val="000000" w:themeColor="text2"/>
      </w:rPr>
      <w:tblPr/>
      <w:tcPr>
        <w:tcBorders>
          <w:top w:val="single" w:sz="8" w:space="0" w:color="F68B1F" w:themeColor="accent3"/>
          <w:bottom w:val="single" w:sz="8" w:space="0" w:color="F68B1F" w:themeColor="accent3"/>
        </w:tcBorders>
      </w:tcPr>
    </w:tblStylePr>
    <w:tblStylePr w:type="firstCol">
      <w:rPr>
        <w:b/>
        <w:bCs/>
      </w:rPr>
    </w:tblStylePr>
    <w:tblStylePr w:type="lastCol">
      <w:rPr>
        <w:b/>
        <w:bCs/>
      </w:rPr>
      <w:tblPr/>
      <w:tcPr>
        <w:tcBorders>
          <w:top w:val="single" w:sz="8" w:space="0" w:color="F68B1F" w:themeColor="accent3"/>
          <w:bottom w:val="single" w:sz="8" w:space="0" w:color="F68B1F" w:themeColor="accent3"/>
        </w:tcBorders>
      </w:tcPr>
    </w:tblStylePr>
    <w:tblStylePr w:type="band1Vert">
      <w:tblPr/>
      <w:tcPr>
        <w:shd w:val="clear" w:color="auto" w:fill="FCE2C7" w:themeFill="accent3" w:themeFillTint="3F"/>
      </w:tcPr>
    </w:tblStylePr>
    <w:tblStylePr w:type="band1Horz">
      <w:tblPr/>
      <w:tcPr>
        <w:shd w:val="clear" w:color="auto" w:fill="FCE2C7" w:themeFill="accent3" w:themeFillTint="3F"/>
      </w:tcPr>
    </w:tblStylePr>
  </w:style>
  <w:style w:type="table" w:styleId="MediumList1-Accent4">
    <w:name w:val="Medium List 1 Accent 4"/>
    <w:basedOn w:val="TableNormal"/>
    <w:uiPriority w:val="65"/>
    <w:semiHidden/>
    <w:unhideWhenUsed/>
    <w:rsid w:val="009E6ED7"/>
    <w:rPr>
      <w:color w:val="000000" w:themeColor="text1"/>
    </w:rPr>
    <w:tblPr>
      <w:tblStyleRowBandSize w:val="1"/>
      <w:tblStyleColBandSize w:val="1"/>
      <w:tblBorders>
        <w:top w:val="single" w:sz="8" w:space="0" w:color="9E007E" w:themeColor="accent4"/>
        <w:bottom w:val="single" w:sz="8" w:space="0" w:color="9E007E" w:themeColor="accent4"/>
      </w:tblBorders>
    </w:tblPr>
    <w:tblStylePr w:type="firstRow">
      <w:rPr>
        <w:rFonts w:asciiTheme="majorHAnsi" w:eastAsiaTheme="majorEastAsia" w:hAnsiTheme="majorHAnsi" w:cstheme="majorBidi"/>
      </w:rPr>
      <w:tblPr/>
      <w:tcPr>
        <w:tcBorders>
          <w:top w:val="nil"/>
          <w:bottom w:val="single" w:sz="8" w:space="0" w:color="9E007E" w:themeColor="accent4"/>
        </w:tcBorders>
      </w:tcPr>
    </w:tblStylePr>
    <w:tblStylePr w:type="lastRow">
      <w:rPr>
        <w:b/>
        <w:bCs/>
        <w:color w:val="000000" w:themeColor="text2"/>
      </w:rPr>
      <w:tblPr/>
      <w:tcPr>
        <w:tcBorders>
          <w:top w:val="single" w:sz="8" w:space="0" w:color="9E007E" w:themeColor="accent4"/>
          <w:bottom w:val="single" w:sz="8" w:space="0" w:color="9E007E" w:themeColor="accent4"/>
        </w:tcBorders>
      </w:tcPr>
    </w:tblStylePr>
    <w:tblStylePr w:type="firstCol">
      <w:rPr>
        <w:b/>
        <w:bCs/>
      </w:rPr>
    </w:tblStylePr>
    <w:tblStylePr w:type="lastCol">
      <w:rPr>
        <w:b/>
        <w:bCs/>
      </w:rPr>
      <w:tblPr/>
      <w:tcPr>
        <w:tcBorders>
          <w:top w:val="single" w:sz="8" w:space="0" w:color="9E007E" w:themeColor="accent4"/>
          <w:bottom w:val="single" w:sz="8" w:space="0" w:color="9E007E" w:themeColor="accent4"/>
        </w:tcBorders>
      </w:tcPr>
    </w:tblStylePr>
    <w:tblStylePr w:type="band1Vert">
      <w:tblPr/>
      <w:tcPr>
        <w:shd w:val="clear" w:color="auto" w:fill="FFA8ED" w:themeFill="accent4" w:themeFillTint="3F"/>
      </w:tcPr>
    </w:tblStylePr>
    <w:tblStylePr w:type="band1Horz">
      <w:tblPr/>
      <w:tcPr>
        <w:shd w:val="clear" w:color="auto" w:fill="FFA8ED" w:themeFill="accent4" w:themeFillTint="3F"/>
      </w:tcPr>
    </w:tblStylePr>
  </w:style>
  <w:style w:type="table" w:styleId="MediumList1-Accent5">
    <w:name w:val="Medium List 1 Accent 5"/>
    <w:basedOn w:val="TableNormal"/>
    <w:uiPriority w:val="65"/>
    <w:semiHidden/>
    <w:unhideWhenUsed/>
    <w:rsid w:val="009E6ED7"/>
    <w:rPr>
      <w:color w:val="000000" w:themeColor="text1"/>
    </w:rPr>
    <w:tblPr>
      <w:tblStyleRowBandSize w:val="1"/>
      <w:tblStyleColBandSize w:val="1"/>
      <w:tblBorders>
        <w:top w:val="single" w:sz="8" w:space="0" w:color="FFE512" w:themeColor="accent5"/>
        <w:bottom w:val="single" w:sz="8" w:space="0" w:color="FFE512" w:themeColor="accent5"/>
      </w:tblBorders>
    </w:tblPr>
    <w:tblStylePr w:type="firstRow">
      <w:rPr>
        <w:rFonts w:asciiTheme="majorHAnsi" w:eastAsiaTheme="majorEastAsia" w:hAnsiTheme="majorHAnsi" w:cstheme="majorBidi"/>
      </w:rPr>
      <w:tblPr/>
      <w:tcPr>
        <w:tcBorders>
          <w:top w:val="nil"/>
          <w:bottom w:val="single" w:sz="8" w:space="0" w:color="FFE512" w:themeColor="accent5"/>
        </w:tcBorders>
      </w:tcPr>
    </w:tblStylePr>
    <w:tblStylePr w:type="lastRow">
      <w:rPr>
        <w:b/>
        <w:bCs/>
        <w:color w:val="000000" w:themeColor="text2"/>
      </w:rPr>
      <w:tblPr/>
      <w:tcPr>
        <w:tcBorders>
          <w:top w:val="single" w:sz="8" w:space="0" w:color="FFE512" w:themeColor="accent5"/>
          <w:bottom w:val="single" w:sz="8" w:space="0" w:color="FFE512" w:themeColor="accent5"/>
        </w:tcBorders>
      </w:tcPr>
    </w:tblStylePr>
    <w:tblStylePr w:type="firstCol">
      <w:rPr>
        <w:b/>
        <w:bCs/>
      </w:rPr>
    </w:tblStylePr>
    <w:tblStylePr w:type="lastCol">
      <w:rPr>
        <w:b/>
        <w:bCs/>
      </w:rPr>
      <w:tblPr/>
      <w:tcPr>
        <w:tcBorders>
          <w:top w:val="single" w:sz="8" w:space="0" w:color="FFE512" w:themeColor="accent5"/>
          <w:bottom w:val="single" w:sz="8" w:space="0" w:color="FFE512" w:themeColor="accent5"/>
        </w:tcBorders>
      </w:tcPr>
    </w:tblStylePr>
    <w:tblStylePr w:type="band1Vert">
      <w:tblPr/>
      <w:tcPr>
        <w:shd w:val="clear" w:color="auto" w:fill="FFF8C4" w:themeFill="accent5" w:themeFillTint="3F"/>
      </w:tcPr>
    </w:tblStylePr>
    <w:tblStylePr w:type="band1Horz">
      <w:tblPr/>
      <w:tcPr>
        <w:shd w:val="clear" w:color="auto" w:fill="FFF8C4" w:themeFill="accent5" w:themeFillTint="3F"/>
      </w:tcPr>
    </w:tblStylePr>
  </w:style>
  <w:style w:type="table" w:styleId="MediumList1-Accent6">
    <w:name w:val="Medium List 1 Accent 6"/>
    <w:basedOn w:val="TableNormal"/>
    <w:uiPriority w:val="65"/>
    <w:semiHidden/>
    <w:unhideWhenUsed/>
    <w:rsid w:val="009E6ED7"/>
    <w:rPr>
      <w:color w:val="000000" w:themeColor="text1"/>
    </w:rPr>
    <w:tblPr>
      <w:tblStyleRowBandSize w:val="1"/>
      <w:tblStyleColBandSize w:val="1"/>
      <w:tblBorders>
        <w:top w:val="single" w:sz="8" w:space="0" w:color="8C8279" w:themeColor="accent6"/>
        <w:bottom w:val="single" w:sz="8" w:space="0" w:color="8C8279" w:themeColor="accent6"/>
      </w:tblBorders>
    </w:tblPr>
    <w:tblStylePr w:type="firstRow">
      <w:rPr>
        <w:rFonts w:asciiTheme="majorHAnsi" w:eastAsiaTheme="majorEastAsia" w:hAnsiTheme="majorHAnsi" w:cstheme="majorBidi"/>
      </w:rPr>
      <w:tblPr/>
      <w:tcPr>
        <w:tcBorders>
          <w:top w:val="nil"/>
          <w:bottom w:val="single" w:sz="8" w:space="0" w:color="8C8279" w:themeColor="accent6"/>
        </w:tcBorders>
      </w:tcPr>
    </w:tblStylePr>
    <w:tblStylePr w:type="lastRow">
      <w:rPr>
        <w:b/>
        <w:bCs/>
        <w:color w:val="000000" w:themeColor="text2"/>
      </w:rPr>
      <w:tblPr/>
      <w:tcPr>
        <w:tcBorders>
          <w:top w:val="single" w:sz="8" w:space="0" w:color="8C8279" w:themeColor="accent6"/>
          <w:bottom w:val="single" w:sz="8" w:space="0" w:color="8C8279" w:themeColor="accent6"/>
        </w:tcBorders>
      </w:tcPr>
    </w:tblStylePr>
    <w:tblStylePr w:type="firstCol">
      <w:rPr>
        <w:b/>
        <w:bCs/>
      </w:rPr>
    </w:tblStylePr>
    <w:tblStylePr w:type="lastCol">
      <w:rPr>
        <w:b/>
        <w:bCs/>
      </w:rPr>
      <w:tblPr/>
      <w:tcPr>
        <w:tcBorders>
          <w:top w:val="single" w:sz="8" w:space="0" w:color="8C8279" w:themeColor="accent6"/>
          <w:bottom w:val="single" w:sz="8" w:space="0" w:color="8C8279" w:themeColor="accent6"/>
        </w:tcBorders>
      </w:tcPr>
    </w:tblStylePr>
    <w:tblStylePr w:type="band1Vert">
      <w:tblPr/>
      <w:tcPr>
        <w:shd w:val="clear" w:color="auto" w:fill="E2E0DD" w:themeFill="accent6" w:themeFillTint="3F"/>
      </w:tcPr>
    </w:tblStylePr>
    <w:tblStylePr w:type="band1Horz">
      <w:tblPr/>
      <w:tcPr>
        <w:shd w:val="clear" w:color="auto" w:fill="E2E0DD" w:themeFill="accent6" w:themeFillTint="3F"/>
      </w:tcPr>
    </w:tblStylePr>
  </w:style>
  <w:style w:type="table" w:styleId="MediumList2">
    <w:name w:val="Medium List 2"/>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B5E2" w:themeColor="accent1"/>
        <w:left w:val="single" w:sz="8" w:space="0" w:color="00B5E2" w:themeColor="accent1"/>
        <w:bottom w:val="single" w:sz="8" w:space="0" w:color="00B5E2" w:themeColor="accent1"/>
        <w:right w:val="single" w:sz="8" w:space="0" w:color="00B5E2" w:themeColor="accent1"/>
      </w:tblBorders>
    </w:tblPr>
    <w:tblStylePr w:type="firstRow">
      <w:rPr>
        <w:sz w:val="24"/>
        <w:szCs w:val="24"/>
      </w:rPr>
      <w:tblPr/>
      <w:tcPr>
        <w:tcBorders>
          <w:top w:val="nil"/>
          <w:left w:val="nil"/>
          <w:bottom w:val="single" w:sz="24" w:space="0" w:color="00B5E2" w:themeColor="accent1"/>
          <w:right w:val="nil"/>
          <w:insideH w:val="nil"/>
          <w:insideV w:val="nil"/>
        </w:tcBorders>
        <w:shd w:val="clear" w:color="auto" w:fill="FFFFFF" w:themeFill="background1"/>
      </w:tcPr>
    </w:tblStylePr>
    <w:tblStylePr w:type="lastRow">
      <w:tblPr/>
      <w:tcPr>
        <w:tcBorders>
          <w:top w:val="single" w:sz="8" w:space="0" w:color="00B5E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5E2" w:themeColor="accent1"/>
          <w:insideH w:val="nil"/>
          <w:insideV w:val="nil"/>
        </w:tcBorders>
        <w:shd w:val="clear" w:color="auto" w:fill="FFFFFF" w:themeFill="background1"/>
      </w:tcPr>
    </w:tblStylePr>
    <w:tblStylePr w:type="lastCol">
      <w:tblPr/>
      <w:tcPr>
        <w:tcBorders>
          <w:top w:val="nil"/>
          <w:left w:val="single" w:sz="8" w:space="0" w:color="00B5E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8F0FF" w:themeFill="accent1" w:themeFillTint="3F"/>
      </w:tcPr>
    </w:tblStylePr>
    <w:tblStylePr w:type="band1Horz">
      <w:tblPr/>
      <w:tcPr>
        <w:tcBorders>
          <w:top w:val="nil"/>
          <w:bottom w:val="nil"/>
          <w:insideH w:val="nil"/>
          <w:insideV w:val="nil"/>
        </w:tcBorders>
        <w:shd w:val="clear" w:color="auto" w:fill="B8F0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84BD00" w:themeColor="accent2"/>
        <w:left w:val="single" w:sz="8" w:space="0" w:color="84BD00" w:themeColor="accent2"/>
        <w:bottom w:val="single" w:sz="8" w:space="0" w:color="84BD00" w:themeColor="accent2"/>
        <w:right w:val="single" w:sz="8" w:space="0" w:color="84BD00" w:themeColor="accent2"/>
      </w:tblBorders>
    </w:tblPr>
    <w:tblStylePr w:type="firstRow">
      <w:rPr>
        <w:sz w:val="24"/>
        <w:szCs w:val="24"/>
      </w:rPr>
      <w:tblPr/>
      <w:tcPr>
        <w:tcBorders>
          <w:top w:val="nil"/>
          <w:left w:val="nil"/>
          <w:bottom w:val="single" w:sz="24" w:space="0" w:color="84BD00" w:themeColor="accent2"/>
          <w:right w:val="nil"/>
          <w:insideH w:val="nil"/>
          <w:insideV w:val="nil"/>
        </w:tcBorders>
        <w:shd w:val="clear" w:color="auto" w:fill="FFFFFF" w:themeFill="background1"/>
      </w:tcPr>
    </w:tblStylePr>
    <w:tblStylePr w:type="lastRow">
      <w:tblPr/>
      <w:tcPr>
        <w:tcBorders>
          <w:top w:val="single" w:sz="8" w:space="0" w:color="84BD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4BD00" w:themeColor="accent2"/>
          <w:insideH w:val="nil"/>
          <w:insideV w:val="nil"/>
        </w:tcBorders>
        <w:shd w:val="clear" w:color="auto" w:fill="FFFFFF" w:themeFill="background1"/>
      </w:tcPr>
    </w:tblStylePr>
    <w:tblStylePr w:type="lastCol">
      <w:tblPr/>
      <w:tcPr>
        <w:tcBorders>
          <w:top w:val="nil"/>
          <w:left w:val="single" w:sz="8" w:space="0" w:color="84BD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7FFAF" w:themeFill="accent2" w:themeFillTint="3F"/>
      </w:tcPr>
    </w:tblStylePr>
    <w:tblStylePr w:type="band1Horz">
      <w:tblPr/>
      <w:tcPr>
        <w:tcBorders>
          <w:top w:val="nil"/>
          <w:bottom w:val="nil"/>
          <w:insideH w:val="nil"/>
          <w:insideV w:val="nil"/>
        </w:tcBorders>
        <w:shd w:val="clear" w:color="auto" w:fill="E7FFA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F68B1F" w:themeColor="accent3"/>
        <w:left w:val="single" w:sz="8" w:space="0" w:color="F68B1F" w:themeColor="accent3"/>
        <w:bottom w:val="single" w:sz="8" w:space="0" w:color="F68B1F" w:themeColor="accent3"/>
        <w:right w:val="single" w:sz="8" w:space="0" w:color="F68B1F" w:themeColor="accent3"/>
      </w:tblBorders>
    </w:tblPr>
    <w:tblStylePr w:type="firstRow">
      <w:rPr>
        <w:sz w:val="24"/>
        <w:szCs w:val="24"/>
      </w:rPr>
      <w:tblPr/>
      <w:tcPr>
        <w:tcBorders>
          <w:top w:val="nil"/>
          <w:left w:val="nil"/>
          <w:bottom w:val="single" w:sz="24" w:space="0" w:color="F68B1F" w:themeColor="accent3"/>
          <w:right w:val="nil"/>
          <w:insideH w:val="nil"/>
          <w:insideV w:val="nil"/>
        </w:tcBorders>
        <w:shd w:val="clear" w:color="auto" w:fill="FFFFFF" w:themeFill="background1"/>
      </w:tcPr>
    </w:tblStylePr>
    <w:tblStylePr w:type="lastRow">
      <w:tblPr/>
      <w:tcPr>
        <w:tcBorders>
          <w:top w:val="single" w:sz="8" w:space="0" w:color="F68B1F"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68B1F" w:themeColor="accent3"/>
          <w:insideH w:val="nil"/>
          <w:insideV w:val="nil"/>
        </w:tcBorders>
        <w:shd w:val="clear" w:color="auto" w:fill="FFFFFF" w:themeFill="background1"/>
      </w:tcPr>
    </w:tblStylePr>
    <w:tblStylePr w:type="lastCol">
      <w:tblPr/>
      <w:tcPr>
        <w:tcBorders>
          <w:top w:val="nil"/>
          <w:left w:val="single" w:sz="8" w:space="0" w:color="F68B1F"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CE2C7" w:themeFill="accent3" w:themeFillTint="3F"/>
      </w:tcPr>
    </w:tblStylePr>
    <w:tblStylePr w:type="band1Horz">
      <w:tblPr/>
      <w:tcPr>
        <w:tcBorders>
          <w:top w:val="nil"/>
          <w:bottom w:val="nil"/>
          <w:insideH w:val="nil"/>
          <w:insideV w:val="nil"/>
        </w:tcBorders>
        <w:shd w:val="clear" w:color="auto" w:fill="FCE2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9E007E" w:themeColor="accent4"/>
        <w:left w:val="single" w:sz="8" w:space="0" w:color="9E007E" w:themeColor="accent4"/>
        <w:bottom w:val="single" w:sz="8" w:space="0" w:color="9E007E" w:themeColor="accent4"/>
        <w:right w:val="single" w:sz="8" w:space="0" w:color="9E007E" w:themeColor="accent4"/>
      </w:tblBorders>
    </w:tblPr>
    <w:tblStylePr w:type="firstRow">
      <w:rPr>
        <w:sz w:val="24"/>
        <w:szCs w:val="24"/>
      </w:rPr>
      <w:tblPr/>
      <w:tcPr>
        <w:tcBorders>
          <w:top w:val="nil"/>
          <w:left w:val="nil"/>
          <w:bottom w:val="single" w:sz="24" w:space="0" w:color="9E007E" w:themeColor="accent4"/>
          <w:right w:val="nil"/>
          <w:insideH w:val="nil"/>
          <w:insideV w:val="nil"/>
        </w:tcBorders>
        <w:shd w:val="clear" w:color="auto" w:fill="FFFFFF" w:themeFill="background1"/>
      </w:tcPr>
    </w:tblStylePr>
    <w:tblStylePr w:type="lastRow">
      <w:tblPr/>
      <w:tcPr>
        <w:tcBorders>
          <w:top w:val="single" w:sz="8" w:space="0" w:color="9E007E"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E007E" w:themeColor="accent4"/>
          <w:insideH w:val="nil"/>
          <w:insideV w:val="nil"/>
        </w:tcBorders>
        <w:shd w:val="clear" w:color="auto" w:fill="FFFFFF" w:themeFill="background1"/>
      </w:tcPr>
    </w:tblStylePr>
    <w:tblStylePr w:type="lastCol">
      <w:tblPr/>
      <w:tcPr>
        <w:tcBorders>
          <w:top w:val="nil"/>
          <w:left w:val="single" w:sz="8" w:space="0" w:color="9E007E"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A8ED" w:themeFill="accent4" w:themeFillTint="3F"/>
      </w:tcPr>
    </w:tblStylePr>
    <w:tblStylePr w:type="band1Horz">
      <w:tblPr/>
      <w:tcPr>
        <w:tcBorders>
          <w:top w:val="nil"/>
          <w:bottom w:val="nil"/>
          <w:insideH w:val="nil"/>
          <w:insideV w:val="nil"/>
        </w:tcBorders>
        <w:shd w:val="clear" w:color="auto" w:fill="FFA8ED"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FFE512" w:themeColor="accent5"/>
        <w:left w:val="single" w:sz="8" w:space="0" w:color="FFE512" w:themeColor="accent5"/>
        <w:bottom w:val="single" w:sz="8" w:space="0" w:color="FFE512" w:themeColor="accent5"/>
        <w:right w:val="single" w:sz="8" w:space="0" w:color="FFE512" w:themeColor="accent5"/>
      </w:tblBorders>
    </w:tblPr>
    <w:tblStylePr w:type="firstRow">
      <w:rPr>
        <w:sz w:val="24"/>
        <w:szCs w:val="24"/>
      </w:rPr>
      <w:tblPr/>
      <w:tcPr>
        <w:tcBorders>
          <w:top w:val="nil"/>
          <w:left w:val="nil"/>
          <w:bottom w:val="single" w:sz="24" w:space="0" w:color="FFE512" w:themeColor="accent5"/>
          <w:right w:val="nil"/>
          <w:insideH w:val="nil"/>
          <w:insideV w:val="nil"/>
        </w:tcBorders>
        <w:shd w:val="clear" w:color="auto" w:fill="FFFFFF" w:themeFill="background1"/>
      </w:tcPr>
    </w:tblStylePr>
    <w:tblStylePr w:type="lastRow">
      <w:tblPr/>
      <w:tcPr>
        <w:tcBorders>
          <w:top w:val="single" w:sz="8" w:space="0" w:color="FFE512"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E512" w:themeColor="accent5"/>
          <w:insideH w:val="nil"/>
          <w:insideV w:val="nil"/>
        </w:tcBorders>
        <w:shd w:val="clear" w:color="auto" w:fill="FFFFFF" w:themeFill="background1"/>
      </w:tcPr>
    </w:tblStylePr>
    <w:tblStylePr w:type="lastCol">
      <w:tblPr/>
      <w:tcPr>
        <w:tcBorders>
          <w:top w:val="nil"/>
          <w:left w:val="single" w:sz="8" w:space="0" w:color="FFE512"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8C4" w:themeFill="accent5" w:themeFillTint="3F"/>
      </w:tcPr>
    </w:tblStylePr>
    <w:tblStylePr w:type="band1Horz">
      <w:tblPr/>
      <w:tcPr>
        <w:tcBorders>
          <w:top w:val="nil"/>
          <w:bottom w:val="nil"/>
          <w:insideH w:val="nil"/>
          <w:insideV w:val="nil"/>
        </w:tcBorders>
        <w:shd w:val="clear" w:color="auto" w:fill="FFF8C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8C8279" w:themeColor="accent6"/>
        <w:left w:val="single" w:sz="8" w:space="0" w:color="8C8279" w:themeColor="accent6"/>
        <w:bottom w:val="single" w:sz="8" w:space="0" w:color="8C8279" w:themeColor="accent6"/>
        <w:right w:val="single" w:sz="8" w:space="0" w:color="8C8279" w:themeColor="accent6"/>
      </w:tblBorders>
    </w:tblPr>
    <w:tblStylePr w:type="firstRow">
      <w:rPr>
        <w:sz w:val="24"/>
        <w:szCs w:val="24"/>
      </w:rPr>
      <w:tblPr/>
      <w:tcPr>
        <w:tcBorders>
          <w:top w:val="nil"/>
          <w:left w:val="nil"/>
          <w:bottom w:val="single" w:sz="24" w:space="0" w:color="8C8279" w:themeColor="accent6"/>
          <w:right w:val="nil"/>
          <w:insideH w:val="nil"/>
          <w:insideV w:val="nil"/>
        </w:tcBorders>
        <w:shd w:val="clear" w:color="auto" w:fill="FFFFFF" w:themeFill="background1"/>
      </w:tcPr>
    </w:tblStylePr>
    <w:tblStylePr w:type="lastRow">
      <w:tblPr/>
      <w:tcPr>
        <w:tcBorders>
          <w:top w:val="single" w:sz="8" w:space="0" w:color="8C8279"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C8279" w:themeColor="accent6"/>
          <w:insideH w:val="nil"/>
          <w:insideV w:val="nil"/>
        </w:tcBorders>
        <w:shd w:val="clear" w:color="auto" w:fill="FFFFFF" w:themeFill="background1"/>
      </w:tcPr>
    </w:tblStylePr>
    <w:tblStylePr w:type="lastCol">
      <w:tblPr/>
      <w:tcPr>
        <w:tcBorders>
          <w:top w:val="nil"/>
          <w:left w:val="single" w:sz="8" w:space="0" w:color="8C8279"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2E0DD" w:themeFill="accent6" w:themeFillTint="3F"/>
      </w:tcPr>
    </w:tblStylePr>
    <w:tblStylePr w:type="band1Horz">
      <w:tblPr/>
      <w:tcPr>
        <w:tcBorders>
          <w:top w:val="nil"/>
          <w:bottom w:val="nil"/>
          <w:insideH w:val="nil"/>
          <w:insideV w:val="nil"/>
        </w:tcBorders>
        <w:shd w:val="clear" w:color="auto" w:fill="E2E0DD"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9E6ED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9E6ED7"/>
    <w:tblPr>
      <w:tblStyleRowBandSize w:val="1"/>
      <w:tblStyleColBandSize w:val="1"/>
      <w:tblBorders>
        <w:top w:val="single" w:sz="8" w:space="0" w:color="2AD4FF" w:themeColor="accent1" w:themeTint="BF"/>
        <w:left w:val="single" w:sz="8" w:space="0" w:color="2AD4FF" w:themeColor="accent1" w:themeTint="BF"/>
        <w:bottom w:val="single" w:sz="8" w:space="0" w:color="2AD4FF" w:themeColor="accent1" w:themeTint="BF"/>
        <w:right w:val="single" w:sz="8" w:space="0" w:color="2AD4FF" w:themeColor="accent1" w:themeTint="BF"/>
        <w:insideH w:val="single" w:sz="8" w:space="0" w:color="2AD4FF" w:themeColor="accent1" w:themeTint="BF"/>
      </w:tblBorders>
    </w:tblPr>
    <w:tblStylePr w:type="firstRow">
      <w:pPr>
        <w:spacing w:before="0" w:after="0" w:line="240" w:lineRule="auto"/>
      </w:pPr>
      <w:rPr>
        <w:b/>
        <w:bCs/>
        <w:color w:val="FFFFFF" w:themeColor="background1"/>
      </w:rPr>
      <w:tblPr/>
      <w:tcPr>
        <w:tcBorders>
          <w:top w:val="single" w:sz="8" w:space="0" w:color="2AD4FF" w:themeColor="accent1" w:themeTint="BF"/>
          <w:left w:val="single" w:sz="8" w:space="0" w:color="2AD4FF" w:themeColor="accent1" w:themeTint="BF"/>
          <w:bottom w:val="single" w:sz="8" w:space="0" w:color="2AD4FF" w:themeColor="accent1" w:themeTint="BF"/>
          <w:right w:val="single" w:sz="8" w:space="0" w:color="2AD4FF" w:themeColor="accent1" w:themeTint="BF"/>
          <w:insideH w:val="nil"/>
          <w:insideV w:val="nil"/>
        </w:tcBorders>
        <w:shd w:val="clear" w:color="auto" w:fill="00B5E2" w:themeFill="accent1"/>
      </w:tcPr>
    </w:tblStylePr>
    <w:tblStylePr w:type="lastRow">
      <w:pPr>
        <w:spacing w:before="0" w:after="0" w:line="240" w:lineRule="auto"/>
      </w:pPr>
      <w:rPr>
        <w:b/>
        <w:bCs/>
      </w:rPr>
      <w:tblPr/>
      <w:tcPr>
        <w:tcBorders>
          <w:top w:val="double" w:sz="6" w:space="0" w:color="2AD4FF" w:themeColor="accent1" w:themeTint="BF"/>
          <w:left w:val="single" w:sz="8" w:space="0" w:color="2AD4FF" w:themeColor="accent1" w:themeTint="BF"/>
          <w:bottom w:val="single" w:sz="8" w:space="0" w:color="2AD4FF" w:themeColor="accent1" w:themeTint="BF"/>
          <w:right w:val="single" w:sz="8" w:space="0" w:color="2AD4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8F0FF" w:themeFill="accent1" w:themeFillTint="3F"/>
      </w:tcPr>
    </w:tblStylePr>
    <w:tblStylePr w:type="band1Horz">
      <w:tblPr/>
      <w:tcPr>
        <w:tcBorders>
          <w:insideH w:val="nil"/>
          <w:insideV w:val="nil"/>
        </w:tcBorders>
        <w:shd w:val="clear" w:color="auto" w:fill="B8F0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9E6ED7"/>
    <w:tblPr>
      <w:tblStyleRowBandSize w:val="1"/>
      <w:tblStyleColBandSize w:val="1"/>
      <w:tblBorders>
        <w:top w:val="single" w:sz="8" w:space="0" w:color="B6FF0E" w:themeColor="accent2" w:themeTint="BF"/>
        <w:left w:val="single" w:sz="8" w:space="0" w:color="B6FF0E" w:themeColor="accent2" w:themeTint="BF"/>
        <w:bottom w:val="single" w:sz="8" w:space="0" w:color="B6FF0E" w:themeColor="accent2" w:themeTint="BF"/>
        <w:right w:val="single" w:sz="8" w:space="0" w:color="B6FF0E" w:themeColor="accent2" w:themeTint="BF"/>
        <w:insideH w:val="single" w:sz="8" w:space="0" w:color="B6FF0E" w:themeColor="accent2" w:themeTint="BF"/>
      </w:tblBorders>
    </w:tblPr>
    <w:tblStylePr w:type="firstRow">
      <w:pPr>
        <w:spacing w:before="0" w:after="0" w:line="240" w:lineRule="auto"/>
      </w:pPr>
      <w:rPr>
        <w:b/>
        <w:bCs/>
        <w:color w:val="FFFFFF" w:themeColor="background1"/>
      </w:rPr>
      <w:tblPr/>
      <w:tcPr>
        <w:tcBorders>
          <w:top w:val="single" w:sz="8" w:space="0" w:color="B6FF0E" w:themeColor="accent2" w:themeTint="BF"/>
          <w:left w:val="single" w:sz="8" w:space="0" w:color="B6FF0E" w:themeColor="accent2" w:themeTint="BF"/>
          <w:bottom w:val="single" w:sz="8" w:space="0" w:color="B6FF0E" w:themeColor="accent2" w:themeTint="BF"/>
          <w:right w:val="single" w:sz="8" w:space="0" w:color="B6FF0E" w:themeColor="accent2" w:themeTint="BF"/>
          <w:insideH w:val="nil"/>
          <w:insideV w:val="nil"/>
        </w:tcBorders>
        <w:shd w:val="clear" w:color="auto" w:fill="84BD00" w:themeFill="accent2"/>
      </w:tcPr>
    </w:tblStylePr>
    <w:tblStylePr w:type="lastRow">
      <w:pPr>
        <w:spacing w:before="0" w:after="0" w:line="240" w:lineRule="auto"/>
      </w:pPr>
      <w:rPr>
        <w:b/>
        <w:bCs/>
      </w:rPr>
      <w:tblPr/>
      <w:tcPr>
        <w:tcBorders>
          <w:top w:val="double" w:sz="6" w:space="0" w:color="B6FF0E" w:themeColor="accent2" w:themeTint="BF"/>
          <w:left w:val="single" w:sz="8" w:space="0" w:color="B6FF0E" w:themeColor="accent2" w:themeTint="BF"/>
          <w:bottom w:val="single" w:sz="8" w:space="0" w:color="B6FF0E" w:themeColor="accent2" w:themeTint="BF"/>
          <w:right w:val="single" w:sz="8" w:space="0" w:color="B6FF0E" w:themeColor="accent2" w:themeTint="BF"/>
          <w:insideH w:val="nil"/>
          <w:insideV w:val="nil"/>
        </w:tcBorders>
      </w:tcPr>
    </w:tblStylePr>
    <w:tblStylePr w:type="firstCol">
      <w:rPr>
        <w:b/>
        <w:bCs/>
      </w:rPr>
    </w:tblStylePr>
    <w:tblStylePr w:type="lastCol">
      <w:rPr>
        <w:b/>
        <w:bCs/>
      </w:rPr>
    </w:tblStylePr>
    <w:tblStylePr w:type="band1Vert">
      <w:tblPr/>
      <w:tcPr>
        <w:shd w:val="clear" w:color="auto" w:fill="E7FFAF" w:themeFill="accent2" w:themeFillTint="3F"/>
      </w:tcPr>
    </w:tblStylePr>
    <w:tblStylePr w:type="band1Horz">
      <w:tblPr/>
      <w:tcPr>
        <w:tcBorders>
          <w:insideH w:val="nil"/>
          <w:insideV w:val="nil"/>
        </w:tcBorders>
        <w:shd w:val="clear" w:color="auto" w:fill="E7FFA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9E6ED7"/>
    <w:tblPr>
      <w:tblStyleRowBandSize w:val="1"/>
      <w:tblStyleColBandSize w:val="1"/>
      <w:tblBorders>
        <w:top w:val="single" w:sz="8" w:space="0" w:color="F8A757" w:themeColor="accent3" w:themeTint="BF"/>
        <w:left w:val="single" w:sz="8" w:space="0" w:color="F8A757" w:themeColor="accent3" w:themeTint="BF"/>
        <w:bottom w:val="single" w:sz="8" w:space="0" w:color="F8A757" w:themeColor="accent3" w:themeTint="BF"/>
        <w:right w:val="single" w:sz="8" w:space="0" w:color="F8A757" w:themeColor="accent3" w:themeTint="BF"/>
        <w:insideH w:val="single" w:sz="8" w:space="0" w:color="F8A757" w:themeColor="accent3" w:themeTint="BF"/>
      </w:tblBorders>
    </w:tblPr>
    <w:tblStylePr w:type="firstRow">
      <w:pPr>
        <w:spacing w:before="0" w:after="0" w:line="240" w:lineRule="auto"/>
      </w:pPr>
      <w:rPr>
        <w:b/>
        <w:bCs/>
        <w:color w:val="FFFFFF" w:themeColor="background1"/>
      </w:rPr>
      <w:tblPr/>
      <w:tcPr>
        <w:tcBorders>
          <w:top w:val="single" w:sz="8" w:space="0" w:color="F8A757" w:themeColor="accent3" w:themeTint="BF"/>
          <w:left w:val="single" w:sz="8" w:space="0" w:color="F8A757" w:themeColor="accent3" w:themeTint="BF"/>
          <w:bottom w:val="single" w:sz="8" w:space="0" w:color="F8A757" w:themeColor="accent3" w:themeTint="BF"/>
          <w:right w:val="single" w:sz="8" w:space="0" w:color="F8A757" w:themeColor="accent3" w:themeTint="BF"/>
          <w:insideH w:val="nil"/>
          <w:insideV w:val="nil"/>
        </w:tcBorders>
        <w:shd w:val="clear" w:color="auto" w:fill="F68B1F" w:themeFill="accent3"/>
      </w:tcPr>
    </w:tblStylePr>
    <w:tblStylePr w:type="lastRow">
      <w:pPr>
        <w:spacing w:before="0" w:after="0" w:line="240" w:lineRule="auto"/>
      </w:pPr>
      <w:rPr>
        <w:b/>
        <w:bCs/>
      </w:rPr>
      <w:tblPr/>
      <w:tcPr>
        <w:tcBorders>
          <w:top w:val="double" w:sz="6" w:space="0" w:color="F8A757" w:themeColor="accent3" w:themeTint="BF"/>
          <w:left w:val="single" w:sz="8" w:space="0" w:color="F8A757" w:themeColor="accent3" w:themeTint="BF"/>
          <w:bottom w:val="single" w:sz="8" w:space="0" w:color="F8A757" w:themeColor="accent3" w:themeTint="BF"/>
          <w:right w:val="single" w:sz="8" w:space="0" w:color="F8A757" w:themeColor="accent3" w:themeTint="BF"/>
          <w:insideH w:val="nil"/>
          <w:insideV w:val="nil"/>
        </w:tcBorders>
      </w:tcPr>
    </w:tblStylePr>
    <w:tblStylePr w:type="firstCol">
      <w:rPr>
        <w:b/>
        <w:bCs/>
      </w:rPr>
    </w:tblStylePr>
    <w:tblStylePr w:type="lastCol">
      <w:rPr>
        <w:b/>
        <w:bCs/>
      </w:rPr>
    </w:tblStylePr>
    <w:tblStylePr w:type="band1Vert">
      <w:tblPr/>
      <w:tcPr>
        <w:shd w:val="clear" w:color="auto" w:fill="FCE2C7" w:themeFill="accent3" w:themeFillTint="3F"/>
      </w:tcPr>
    </w:tblStylePr>
    <w:tblStylePr w:type="band1Horz">
      <w:tblPr/>
      <w:tcPr>
        <w:tcBorders>
          <w:insideH w:val="nil"/>
          <w:insideV w:val="nil"/>
        </w:tcBorders>
        <w:shd w:val="clear" w:color="auto" w:fill="FCE2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9E6ED7"/>
    <w:tblPr>
      <w:tblStyleRowBandSize w:val="1"/>
      <w:tblStyleColBandSize w:val="1"/>
      <w:tblBorders>
        <w:top w:val="single" w:sz="8" w:space="0" w:color="F600C4" w:themeColor="accent4" w:themeTint="BF"/>
        <w:left w:val="single" w:sz="8" w:space="0" w:color="F600C4" w:themeColor="accent4" w:themeTint="BF"/>
        <w:bottom w:val="single" w:sz="8" w:space="0" w:color="F600C4" w:themeColor="accent4" w:themeTint="BF"/>
        <w:right w:val="single" w:sz="8" w:space="0" w:color="F600C4" w:themeColor="accent4" w:themeTint="BF"/>
        <w:insideH w:val="single" w:sz="8" w:space="0" w:color="F600C4" w:themeColor="accent4" w:themeTint="BF"/>
      </w:tblBorders>
    </w:tblPr>
    <w:tblStylePr w:type="firstRow">
      <w:pPr>
        <w:spacing w:before="0" w:after="0" w:line="240" w:lineRule="auto"/>
      </w:pPr>
      <w:rPr>
        <w:b/>
        <w:bCs/>
        <w:color w:val="FFFFFF" w:themeColor="background1"/>
      </w:rPr>
      <w:tblPr/>
      <w:tcPr>
        <w:tcBorders>
          <w:top w:val="single" w:sz="8" w:space="0" w:color="F600C4" w:themeColor="accent4" w:themeTint="BF"/>
          <w:left w:val="single" w:sz="8" w:space="0" w:color="F600C4" w:themeColor="accent4" w:themeTint="BF"/>
          <w:bottom w:val="single" w:sz="8" w:space="0" w:color="F600C4" w:themeColor="accent4" w:themeTint="BF"/>
          <w:right w:val="single" w:sz="8" w:space="0" w:color="F600C4" w:themeColor="accent4" w:themeTint="BF"/>
          <w:insideH w:val="nil"/>
          <w:insideV w:val="nil"/>
        </w:tcBorders>
        <w:shd w:val="clear" w:color="auto" w:fill="9E007E" w:themeFill="accent4"/>
      </w:tcPr>
    </w:tblStylePr>
    <w:tblStylePr w:type="lastRow">
      <w:pPr>
        <w:spacing w:before="0" w:after="0" w:line="240" w:lineRule="auto"/>
      </w:pPr>
      <w:rPr>
        <w:b/>
        <w:bCs/>
      </w:rPr>
      <w:tblPr/>
      <w:tcPr>
        <w:tcBorders>
          <w:top w:val="double" w:sz="6" w:space="0" w:color="F600C4" w:themeColor="accent4" w:themeTint="BF"/>
          <w:left w:val="single" w:sz="8" w:space="0" w:color="F600C4" w:themeColor="accent4" w:themeTint="BF"/>
          <w:bottom w:val="single" w:sz="8" w:space="0" w:color="F600C4" w:themeColor="accent4" w:themeTint="BF"/>
          <w:right w:val="single" w:sz="8" w:space="0" w:color="F600C4"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A8ED" w:themeFill="accent4" w:themeFillTint="3F"/>
      </w:tcPr>
    </w:tblStylePr>
    <w:tblStylePr w:type="band1Horz">
      <w:tblPr/>
      <w:tcPr>
        <w:tcBorders>
          <w:insideH w:val="nil"/>
          <w:insideV w:val="nil"/>
        </w:tcBorders>
        <w:shd w:val="clear" w:color="auto" w:fill="FFA8ED"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9E6ED7"/>
    <w:tblPr>
      <w:tblStyleRowBandSize w:val="1"/>
      <w:tblStyleColBandSize w:val="1"/>
      <w:tblBorders>
        <w:top w:val="single" w:sz="8" w:space="0" w:color="FFEB4D" w:themeColor="accent5" w:themeTint="BF"/>
        <w:left w:val="single" w:sz="8" w:space="0" w:color="FFEB4D" w:themeColor="accent5" w:themeTint="BF"/>
        <w:bottom w:val="single" w:sz="8" w:space="0" w:color="FFEB4D" w:themeColor="accent5" w:themeTint="BF"/>
        <w:right w:val="single" w:sz="8" w:space="0" w:color="FFEB4D" w:themeColor="accent5" w:themeTint="BF"/>
        <w:insideH w:val="single" w:sz="8" w:space="0" w:color="FFEB4D" w:themeColor="accent5" w:themeTint="BF"/>
      </w:tblBorders>
    </w:tblPr>
    <w:tblStylePr w:type="firstRow">
      <w:pPr>
        <w:spacing w:before="0" w:after="0" w:line="240" w:lineRule="auto"/>
      </w:pPr>
      <w:rPr>
        <w:b/>
        <w:bCs/>
        <w:color w:val="FFFFFF" w:themeColor="background1"/>
      </w:rPr>
      <w:tblPr/>
      <w:tcPr>
        <w:tcBorders>
          <w:top w:val="single" w:sz="8" w:space="0" w:color="FFEB4D" w:themeColor="accent5" w:themeTint="BF"/>
          <w:left w:val="single" w:sz="8" w:space="0" w:color="FFEB4D" w:themeColor="accent5" w:themeTint="BF"/>
          <w:bottom w:val="single" w:sz="8" w:space="0" w:color="FFEB4D" w:themeColor="accent5" w:themeTint="BF"/>
          <w:right w:val="single" w:sz="8" w:space="0" w:color="FFEB4D" w:themeColor="accent5" w:themeTint="BF"/>
          <w:insideH w:val="nil"/>
          <w:insideV w:val="nil"/>
        </w:tcBorders>
        <w:shd w:val="clear" w:color="auto" w:fill="FFE512" w:themeFill="accent5"/>
      </w:tcPr>
    </w:tblStylePr>
    <w:tblStylePr w:type="lastRow">
      <w:pPr>
        <w:spacing w:before="0" w:after="0" w:line="240" w:lineRule="auto"/>
      </w:pPr>
      <w:rPr>
        <w:b/>
        <w:bCs/>
      </w:rPr>
      <w:tblPr/>
      <w:tcPr>
        <w:tcBorders>
          <w:top w:val="double" w:sz="6" w:space="0" w:color="FFEB4D" w:themeColor="accent5" w:themeTint="BF"/>
          <w:left w:val="single" w:sz="8" w:space="0" w:color="FFEB4D" w:themeColor="accent5" w:themeTint="BF"/>
          <w:bottom w:val="single" w:sz="8" w:space="0" w:color="FFEB4D" w:themeColor="accent5" w:themeTint="BF"/>
          <w:right w:val="single" w:sz="8" w:space="0" w:color="FFEB4D" w:themeColor="accent5" w:themeTint="BF"/>
          <w:insideH w:val="nil"/>
          <w:insideV w:val="nil"/>
        </w:tcBorders>
      </w:tcPr>
    </w:tblStylePr>
    <w:tblStylePr w:type="firstCol">
      <w:rPr>
        <w:b/>
        <w:bCs/>
      </w:rPr>
    </w:tblStylePr>
    <w:tblStylePr w:type="lastCol">
      <w:rPr>
        <w:b/>
        <w:bCs/>
      </w:rPr>
    </w:tblStylePr>
    <w:tblStylePr w:type="band1Vert">
      <w:tblPr/>
      <w:tcPr>
        <w:shd w:val="clear" w:color="auto" w:fill="FFF8C4" w:themeFill="accent5" w:themeFillTint="3F"/>
      </w:tcPr>
    </w:tblStylePr>
    <w:tblStylePr w:type="band1Horz">
      <w:tblPr/>
      <w:tcPr>
        <w:tcBorders>
          <w:insideH w:val="nil"/>
          <w:insideV w:val="nil"/>
        </w:tcBorders>
        <w:shd w:val="clear" w:color="auto" w:fill="FFF8C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9E6ED7"/>
    <w:tblPr>
      <w:tblStyleRowBandSize w:val="1"/>
      <w:tblStyleColBandSize w:val="1"/>
      <w:tblBorders>
        <w:top w:val="single" w:sz="8" w:space="0" w:color="A8A19A" w:themeColor="accent6" w:themeTint="BF"/>
        <w:left w:val="single" w:sz="8" w:space="0" w:color="A8A19A" w:themeColor="accent6" w:themeTint="BF"/>
        <w:bottom w:val="single" w:sz="8" w:space="0" w:color="A8A19A" w:themeColor="accent6" w:themeTint="BF"/>
        <w:right w:val="single" w:sz="8" w:space="0" w:color="A8A19A" w:themeColor="accent6" w:themeTint="BF"/>
        <w:insideH w:val="single" w:sz="8" w:space="0" w:color="A8A19A" w:themeColor="accent6" w:themeTint="BF"/>
      </w:tblBorders>
    </w:tblPr>
    <w:tblStylePr w:type="firstRow">
      <w:pPr>
        <w:spacing w:before="0" w:after="0" w:line="240" w:lineRule="auto"/>
      </w:pPr>
      <w:rPr>
        <w:b/>
        <w:bCs/>
        <w:color w:val="FFFFFF" w:themeColor="background1"/>
      </w:rPr>
      <w:tblPr/>
      <w:tcPr>
        <w:tcBorders>
          <w:top w:val="single" w:sz="8" w:space="0" w:color="A8A19A" w:themeColor="accent6" w:themeTint="BF"/>
          <w:left w:val="single" w:sz="8" w:space="0" w:color="A8A19A" w:themeColor="accent6" w:themeTint="BF"/>
          <w:bottom w:val="single" w:sz="8" w:space="0" w:color="A8A19A" w:themeColor="accent6" w:themeTint="BF"/>
          <w:right w:val="single" w:sz="8" w:space="0" w:color="A8A19A" w:themeColor="accent6" w:themeTint="BF"/>
          <w:insideH w:val="nil"/>
          <w:insideV w:val="nil"/>
        </w:tcBorders>
        <w:shd w:val="clear" w:color="auto" w:fill="8C8279" w:themeFill="accent6"/>
      </w:tcPr>
    </w:tblStylePr>
    <w:tblStylePr w:type="lastRow">
      <w:pPr>
        <w:spacing w:before="0" w:after="0" w:line="240" w:lineRule="auto"/>
      </w:pPr>
      <w:rPr>
        <w:b/>
        <w:bCs/>
      </w:rPr>
      <w:tblPr/>
      <w:tcPr>
        <w:tcBorders>
          <w:top w:val="double" w:sz="6" w:space="0" w:color="A8A19A" w:themeColor="accent6" w:themeTint="BF"/>
          <w:left w:val="single" w:sz="8" w:space="0" w:color="A8A19A" w:themeColor="accent6" w:themeTint="BF"/>
          <w:bottom w:val="single" w:sz="8" w:space="0" w:color="A8A19A" w:themeColor="accent6" w:themeTint="BF"/>
          <w:right w:val="single" w:sz="8" w:space="0" w:color="A8A19A" w:themeColor="accent6" w:themeTint="BF"/>
          <w:insideH w:val="nil"/>
          <w:insideV w:val="nil"/>
        </w:tcBorders>
      </w:tcPr>
    </w:tblStylePr>
    <w:tblStylePr w:type="firstCol">
      <w:rPr>
        <w:b/>
        <w:bCs/>
      </w:rPr>
    </w:tblStylePr>
    <w:tblStylePr w:type="lastCol">
      <w:rPr>
        <w:b/>
        <w:bCs/>
      </w:rPr>
    </w:tblStylePr>
    <w:tblStylePr w:type="band1Vert">
      <w:tblPr/>
      <w:tcPr>
        <w:shd w:val="clear" w:color="auto" w:fill="E2E0DD" w:themeFill="accent6" w:themeFillTint="3F"/>
      </w:tcPr>
    </w:tblStylePr>
    <w:tblStylePr w:type="band1Horz">
      <w:tblPr/>
      <w:tcPr>
        <w:tcBorders>
          <w:insideH w:val="nil"/>
          <w:insideV w:val="nil"/>
        </w:tcBorders>
        <w:shd w:val="clear" w:color="auto" w:fill="E2E0DD"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5E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5E2" w:themeFill="accent1"/>
      </w:tcPr>
    </w:tblStylePr>
    <w:tblStylePr w:type="lastCol">
      <w:rPr>
        <w:b/>
        <w:bCs/>
        <w:color w:val="FFFFFF" w:themeColor="background1"/>
      </w:rPr>
      <w:tblPr/>
      <w:tcPr>
        <w:tcBorders>
          <w:left w:val="nil"/>
          <w:right w:val="nil"/>
          <w:insideH w:val="nil"/>
          <w:insideV w:val="nil"/>
        </w:tcBorders>
        <w:shd w:val="clear" w:color="auto" w:fill="00B5E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4BD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4BD00" w:themeFill="accent2"/>
      </w:tcPr>
    </w:tblStylePr>
    <w:tblStylePr w:type="lastCol">
      <w:rPr>
        <w:b/>
        <w:bCs/>
        <w:color w:val="FFFFFF" w:themeColor="background1"/>
      </w:rPr>
      <w:tblPr/>
      <w:tcPr>
        <w:tcBorders>
          <w:left w:val="nil"/>
          <w:right w:val="nil"/>
          <w:insideH w:val="nil"/>
          <w:insideV w:val="nil"/>
        </w:tcBorders>
        <w:shd w:val="clear" w:color="auto" w:fill="84BD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68B1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68B1F" w:themeFill="accent3"/>
      </w:tcPr>
    </w:tblStylePr>
    <w:tblStylePr w:type="lastCol">
      <w:rPr>
        <w:b/>
        <w:bCs/>
        <w:color w:val="FFFFFF" w:themeColor="background1"/>
      </w:rPr>
      <w:tblPr/>
      <w:tcPr>
        <w:tcBorders>
          <w:left w:val="nil"/>
          <w:right w:val="nil"/>
          <w:insideH w:val="nil"/>
          <w:insideV w:val="nil"/>
        </w:tcBorders>
        <w:shd w:val="clear" w:color="auto" w:fill="F68B1F"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E007E"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E007E" w:themeFill="accent4"/>
      </w:tcPr>
    </w:tblStylePr>
    <w:tblStylePr w:type="lastCol">
      <w:rPr>
        <w:b/>
        <w:bCs/>
        <w:color w:val="FFFFFF" w:themeColor="background1"/>
      </w:rPr>
      <w:tblPr/>
      <w:tcPr>
        <w:tcBorders>
          <w:left w:val="nil"/>
          <w:right w:val="nil"/>
          <w:insideH w:val="nil"/>
          <w:insideV w:val="nil"/>
        </w:tcBorders>
        <w:shd w:val="clear" w:color="auto" w:fill="9E007E"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E512"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E512" w:themeFill="accent5"/>
      </w:tcPr>
    </w:tblStylePr>
    <w:tblStylePr w:type="lastCol">
      <w:rPr>
        <w:b/>
        <w:bCs/>
        <w:color w:val="FFFFFF" w:themeColor="background1"/>
      </w:rPr>
      <w:tblPr/>
      <w:tcPr>
        <w:tcBorders>
          <w:left w:val="nil"/>
          <w:right w:val="nil"/>
          <w:insideH w:val="nil"/>
          <w:insideV w:val="nil"/>
        </w:tcBorders>
        <w:shd w:val="clear" w:color="auto" w:fill="FFE512"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C8279"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C8279" w:themeFill="accent6"/>
      </w:tcPr>
    </w:tblStylePr>
    <w:tblStylePr w:type="lastCol">
      <w:rPr>
        <w:b/>
        <w:bCs/>
        <w:color w:val="FFFFFF" w:themeColor="background1"/>
      </w:rPr>
      <w:tblPr/>
      <w:tcPr>
        <w:tcBorders>
          <w:left w:val="nil"/>
          <w:right w:val="nil"/>
          <w:insideH w:val="nil"/>
          <w:insideV w:val="nil"/>
        </w:tcBorders>
        <w:shd w:val="clear" w:color="auto" w:fill="8C8279"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E6ED7"/>
    <w:pPr>
      <w:spacing w:line="24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E6ED7"/>
    <w:pPr>
      <w:spacing w:line="24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E6ED7"/>
    <w:pPr>
      <w:spacing w:line="24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E6ED7"/>
    <w:pPr>
      <w:spacing w:line="24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E6ED7"/>
    <w:pPr>
      <w:spacing w:line="24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E6ED7"/>
    <w:pPr>
      <w:spacing w:line="24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E6ED7"/>
    <w:pPr>
      <w:spacing w:line="24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E6ED7"/>
    <w:pPr>
      <w:spacing w:line="24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E6ED7"/>
    <w:pPr>
      <w:spacing w:line="24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E6ED7"/>
    <w:pPr>
      <w:spacing w:line="24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E6ED7"/>
    <w:pPr>
      <w:spacing w:line="24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E6ED7"/>
    <w:pPr>
      <w:spacing w:line="24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E6ED7"/>
    <w:pPr>
      <w:spacing w:line="24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E6ED7"/>
    <w:pPr>
      <w:spacing w:line="24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E6ED7"/>
    <w:pPr>
      <w:spacing w:line="24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E6ED7"/>
    <w:pPr>
      <w:spacing w:line="24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E6ED7"/>
    <w:pPr>
      <w:spacing w:line="24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E6ED7"/>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E6ED7"/>
    <w:pPr>
      <w:spacing w:line="24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E6ED7"/>
    <w:pPr>
      <w:spacing w:line="24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E6ED7"/>
    <w:pPr>
      <w:spacing w:line="24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E6ED7"/>
    <w:pPr>
      <w:spacing w:line="24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E6ED7"/>
    <w:pPr>
      <w:spacing w:line="24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E6ED7"/>
    <w:pPr>
      <w:spacing w:line="24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E6ED7"/>
    <w:pPr>
      <w:spacing w:line="24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E6ED7"/>
    <w:pPr>
      <w:spacing w:line="24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E6ED7"/>
    <w:pPr>
      <w:spacing w:line="24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E6ED7"/>
    <w:pPr>
      <w:spacing w:line="24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E6ED7"/>
    <w:pPr>
      <w:spacing w:line="24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E6ED7"/>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E6ED7"/>
    <w:pPr>
      <w:spacing w:line="24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E6ED7"/>
    <w:pPr>
      <w:spacing w:line="24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E6ED7"/>
    <w:pPr>
      <w:spacing w:line="24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E6ED7"/>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E6ED7"/>
    <w:pPr>
      <w:spacing w:line="24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E6ED7"/>
    <w:pPr>
      <w:spacing w:line="24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E6ED7"/>
    <w:pPr>
      <w:spacing w:line="24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E6ED7"/>
    <w:pPr>
      <w:spacing w:line="24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E6ED7"/>
    <w:pPr>
      <w:spacing w:line="24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E6ED7"/>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E6ED7"/>
    <w:pPr>
      <w:spacing w:line="24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E6ED7"/>
    <w:pPr>
      <w:spacing w:line="24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E6ED7"/>
    <w:pPr>
      <w:spacing w:line="24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Header">
    <w:name w:val="header"/>
    <w:basedOn w:val="Normal"/>
    <w:link w:val="HeaderChar"/>
    <w:uiPriority w:val="99"/>
    <w:unhideWhenUsed/>
    <w:rsid w:val="007F6341"/>
    <w:pPr>
      <w:tabs>
        <w:tab w:val="center" w:pos="4513"/>
        <w:tab w:val="right" w:pos="9026"/>
      </w:tabs>
      <w:spacing w:line="240" w:lineRule="auto"/>
    </w:pPr>
    <w:rPr>
      <w:noProof/>
      <w:sz w:val="14"/>
    </w:rPr>
  </w:style>
  <w:style w:type="character" w:customStyle="1" w:styleId="HeaderChar">
    <w:name w:val="Header Char"/>
    <w:basedOn w:val="DefaultParagraphFont"/>
    <w:link w:val="Header"/>
    <w:uiPriority w:val="99"/>
    <w:rsid w:val="00F66A91"/>
    <w:rPr>
      <w:noProof/>
      <w:kern w:val="18"/>
      <w:sz w:val="14"/>
    </w:rPr>
  </w:style>
  <w:style w:type="paragraph" w:styleId="Footer">
    <w:name w:val="footer"/>
    <w:basedOn w:val="Normal"/>
    <w:link w:val="FooterChar"/>
    <w:uiPriority w:val="99"/>
    <w:unhideWhenUsed/>
    <w:rsid w:val="007F6341"/>
    <w:pPr>
      <w:tabs>
        <w:tab w:val="center" w:pos="4513"/>
        <w:tab w:val="right" w:pos="9026"/>
      </w:tabs>
      <w:spacing w:line="240" w:lineRule="auto"/>
    </w:pPr>
    <w:rPr>
      <w:noProof/>
      <w:sz w:val="14"/>
    </w:rPr>
  </w:style>
  <w:style w:type="character" w:customStyle="1" w:styleId="FooterChar">
    <w:name w:val="Footer Char"/>
    <w:basedOn w:val="DefaultParagraphFont"/>
    <w:link w:val="Footer"/>
    <w:uiPriority w:val="99"/>
    <w:rsid w:val="00F66A91"/>
    <w:rPr>
      <w:noProof/>
      <w:kern w:val="18"/>
      <w:sz w:val="14"/>
    </w:rPr>
  </w:style>
  <w:style w:type="numbering" w:customStyle="1" w:styleId="AECOMNumbering">
    <w:name w:val="AECOM Numbering"/>
    <w:basedOn w:val="NoList"/>
    <w:uiPriority w:val="99"/>
    <w:semiHidden/>
    <w:unhideWhenUsed/>
    <w:rsid w:val="00FF093C"/>
    <w:pPr>
      <w:numPr>
        <w:numId w:val="7"/>
      </w:numPr>
    </w:pPr>
  </w:style>
  <w:style w:type="numbering" w:customStyle="1" w:styleId="AECOMAppendix">
    <w:name w:val="AECOM Appendix"/>
    <w:uiPriority w:val="99"/>
    <w:semiHidden/>
    <w:unhideWhenUsed/>
    <w:rsid w:val="006A3705"/>
    <w:pPr>
      <w:numPr>
        <w:numId w:val="8"/>
      </w:numPr>
    </w:pPr>
  </w:style>
  <w:style w:type="character" w:customStyle="1" w:styleId="Heading6Char">
    <w:name w:val="Heading 6 Char"/>
    <w:basedOn w:val="DefaultParagraphFont"/>
    <w:link w:val="Heading6"/>
    <w:uiPriority w:val="9"/>
    <w:semiHidden/>
    <w:rsid w:val="00F66A91"/>
    <w:rPr>
      <w:rFonts w:asciiTheme="majorHAnsi" w:eastAsiaTheme="majorEastAsia" w:hAnsiTheme="majorHAnsi" w:cstheme="majorBidi"/>
      <w:i/>
      <w:iCs/>
      <w:color w:val="005970" w:themeColor="accent1" w:themeShade="7F"/>
      <w:kern w:val="18"/>
    </w:rPr>
  </w:style>
  <w:style w:type="character" w:customStyle="1" w:styleId="Heading7Char">
    <w:name w:val="Heading 7 Char"/>
    <w:basedOn w:val="DefaultParagraphFont"/>
    <w:link w:val="Heading7"/>
    <w:uiPriority w:val="9"/>
    <w:semiHidden/>
    <w:rsid w:val="00F66A91"/>
    <w:rPr>
      <w:rFonts w:asciiTheme="majorHAnsi" w:eastAsiaTheme="majorEastAsia" w:hAnsiTheme="majorHAnsi" w:cstheme="majorBidi"/>
      <w:i/>
      <w:iCs/>
      <w:color w:val="404040" w:themeColor="text1" w:themeTint="BF"/>
      <w:kern w:val="18"/>
    </w:rPr>
  </w:style>
  <w:style w:type="character" w:customStyle="1" w:styleId="Heading8Char">
    <w:name w:val="Heading 8 Char"/>
    <w:basedOn w:val="DefaultParagraphFont"/>
    <w:link w:val="Heading8"/>
    <w:uiPriority w:val="9"/>
    <w:semiHidden/>
    <w:rsid w:val="00F66A91"/>
    <w:rPr>
      <w:rFonts w:asciiTheme="majorHAnsi" w:eastAsiaTheme="majorEastAsia" w:hAnsiTheme="majorHAnsi" w:cstheme="majorBidi"/>
      <w:color w:val="404040" w:themeColor="text1" w:themeTint="BF"/>
      <w:kern w:val="18"/>
      <w:sz w:val="20"/>
      <w:szCs w:val="20"/>
    </w:rPr>
  </w:style>
  <w:style w:type="character" w:customStyle="1" w:styleId="Heading9Char">
    <w:name w:val="Heading 9 Char"/>
    <w:basedOn w:val="DefaultParagraphFont"/>
    <w:link w:val="Heading9"/>
    <w:uiPriority w:val="9"/>
    <w:semiHidden/>
    <w:rsid w:val="00F66A91"/>
    <w:rPr>
      <w:rFonts w:asciiTheme="majorHAnsi" w:eastAsiaTheme="majorEastAsia" w:hAnsiTheme="majorHAnsi" w:cstheme="majorBidi"/>
      <w:i/>
      <w:iCs/>
      <w:color w:val="404040" w:themeColor="text1" w:themeTint="BF"/>
      <w:kern w:val="18"/>
      <w:sz w:val="20"/>
      <w:szCs w:val="20"/>
    </w:rPr>
  </w:style>
  <w:style w:type="table" w:customStyle="1" w:styleId="Plaingrid">
    <w:name w:val="Plain grid"/>
    <w:basedOn w:val="TableNormal"/>
    <w:uiPriority w:val="99"/>
    <w:semiHidden/>
    <w:unhideWhenUsed/>
    <w:rsid w:val="00E772F5"/>
    <w:tblPr>
      <w:tblCellMar>
        <w:left w:w="0" w:type="dxa"/>
      </w:tblCellMar>
    </w:tblPr>
  </w:style>
  <w:style w:type="paragraph" w:styleId="Title">
    <w:name w:val="Title"/>
    <w:basedOn w:val="Normal"/>
    <w:next w:val="Normal"/>
    <w:link w:val="TitleChar"/>
    <w:uiPriority w:val="10"/>
    <w:semiHidden/>
    <w:unhideWhenUsed/>
    <w:rsid w:val="00AA75D4"/>
    <w:pPr>
      <w:spacing w:after="300" w:line="240" w:lineRule="auto"/>
      <w:contextualSpacing/>
    </w:pPr>
    <w:rPr>
      <w:rFonts w:asciiTheme="majorHAnsi" w:eastAsiaTheme="majorEastAsia" w:hAnsiTheme="majorHAnsi" w:cstheme="majorBidi"/>
      <w:color w:val="FFFFFF" w:themeColor="background1"/>
      <w:kern w:val="28"/>
      <w:sz w:val="48"/>
      <w:szCs w:val="52"/>
    </w:rPr>
  </w:style>
  <w:style w:type="character" w:customStyle="1" w:styleId="TitleChar">
    <w:name w:val="Title Char"/>
    <w:basedOn w:val="DefaultParagraphFont"/>
    <w:link w:val="Title"/>
    <w:uiPriority w:val="10"/>
    <w:semiHidden/>
    <w:rsid w:val="00F66A91"/>
    <w:rPr>
      <w:rFonts w:asciiTheme="majorHAnsi" w:eastAsiaTheme="majorEastAsia" w:hAnsiTheme="majorHAnsi" w:cstheme="majorBidi"/>
      <w:color w:val="FFFFFF" w:themeColor="background1"/>
      <w:kern w:val="28"/>
      <w:sz w:val="48"/>
      <w:szCs w:val="52"/>
    </w:rPr>
  </w:style>
  <w:style w:type="paragraph" w:styleId="TOCHeading">
    <w:name w:val="TOC Heading"/>
    <w:basedOn w:val="Heading1"/>
    <w:next w:val="Normal"/>
    <w:uiPriority w:val="39"/>
    <w:semiHidden/>
    <w:unhideWhenUsed/>
    <w:rsid w:val="000D13AF"/>
    <w:pPr>
      <w:numPr>
        <w:numId w:val="0"/>
      </w:numPr>
      <w:spacing w:line="240" w:lineRule="atLeast"/>
      <w:outlineLvl w:val="9"/>
    </w:pPr>
    <w:rPr>
      <w:sz w:val="28"/>
    </w:rPr>
  </w:style>
  <w:style w:type="paragraph" w:styleId="Subtitle">
    <w:name w:val="Subtitle"/>
    <w:basedOn w:val="Normal"/>
    <w:next w:val="Normal"/>
    <w:link w:val="SubtitleChar"/>
    <w:uiPriority w:val="11"/>
    <w:semiHidden/>
    <w:unhideWhenUsed/>
    <w:rsid w:val="00AA75D4"/>
    <w:pPr>
      <w:numPr>
        <w:ilvl w:val="1"/>
      </w:numPr>
    </w:pPr>
    <w:rPr>
      <w:rFonts w:asciiTheme="majorHAnsi" w:eastAsiaTheme="majorEastAsia" w:hAnsiTheme="majorHAnsi" w:cstheme="majorBidi"/>
      <w:iCs/>
      <w:color w:val="FFFFFF" w:themeColor="background1"/>
      <w:sz w:val="24"/>
      <w:szCs w:val="24"/>
    </w:rPr>
  </w:style>
  <w:style w:type="character" w:customStyle="1" w:styleId="SubtitleChar">
    <w:name w:val="Subtitle Char"/>
    <w:basedOn w:val="DefaultParagraphFont"/>
    <w:link w:val="Subtitle"/>
    <w:uiPriority w:val="11"/>
    <w:semiHidden/>
    <w:rsid w:val="00F66A91"/>
    <w:rPr>
      <w:rFonts w:asciiTheme="majorHAnsi" w:eastAsiaTheme="majorEastAsia" w:hAnsiTheme="majorHAnsi" w:cstheme="majorBidi"/>
      <w:iCs/>
      <w:color w:val="FFFFFF" w:themeColor="background1"/>
      <w:kern w:val="18"/>
      <w:sz w:val="24"/>
      <w:szCs w:val="24"/>
    </w:rPr>
  </w:style>
  <w:style w:type="paragraph" w:styleId="TOC1">
    <w:name w:val="toc 1"/>
    <w:basedOn w:val="Normal"/>
    <w:next w:val="Normal"/>
    <w:autoRedefine/>
    <w:uiPriority w:val="39"/>
    <w:unhideWhenUsed/>
    <w:rsid w:val="003964F2"/>
    <w:pPr>
      <w:tabs>
        <w:tab w:val="clear" w:pos="284"/>
        <w:tab w:val="right" w:leader="dot" w:pos="9026"/>
      </w:tabs>
      <w:spacing w:after="40"/>
      <w:ind w:left="567" w:right="522" w:hanging="567"/>
    </w:pPr>
    <w:rPr>
      <w:rFonts w:asciiTheme="majorHAnsi" w:hAnsiTheme="majorHAnsi"/>
    </w:rPr>
  </w:style>
  <w:style w:type="paragraph" w:styleId="TOC2">
    <w:name w:val="toc 2"/>
    <w:basedOn w:val="Normal"/>
    <w:next w:val="Normal"/>
    <w:autoRedefine/>
    <w:uiPriority w:val="39"/>
    <w:unhideWhenUsed/>
    <w:rsid w:val="003964F2"/>
    <w:pPr>
      <w:tabs>
        <w:tab w:val="clear" w:pos="284"/>
        <w:tab w:val="right" w:leader="dot" w:pos="9026"/>
      </w:tabs>
      <w:spacing w:after="40"/>
      <w:ind w:left="1134" w:right="522" w:hanging="567"/>
    </w:pPr>
  </w:style>
  <w:style w:type="paragraph" w:styleId="TOC3">
    <w:name w:val="toc 3"/>
    <w:basedOn w:val="Normal"/>
    <w:next w:val="Normal"/>
    <w:autoRedefine/>
    <w:uiPriority w:val="39"/>
    <w:unhideWhenUsed/>
    <w:rsid w:val="003964F2"/>
    <w:pPr>
      <w:tabs>
        <w:tab w:val="clear" w:pos="284"/>
        <w:tab w:val="right" w:leader="dot" w:pos="9026"/>
      </w:tabs>
      <w:spacing w:after="40"/>
      <w:ind w:left="1134" w:hanging="567"/>
    </w:pPr>
  </w:style>
  <w:style w:type="paragraph" w:customStyle="1" w:styleId="Coverdata">
    <w:name w:val="Cover data"/>
    <w:basedOn w:val="Subtitle"/>
    <w:uiPriority w:val="1"/>
    <w:semiHidden/>
    <w:unhideWhenUsed/>
    <w:rsid w:val="00DA79BC"/>
    <w:pPr>
      <w:jc w:val="right"/>
    </w:pPr>
    <w:rPr>
      <w:sz w:val="16"/>
    </w:rPr>
  </w:style>
  <w:style w:type="paragraph" w:customStyle="1" w:styleId="Coverfooter">
    <w:name w:val="Cover footer"/>
    <w:basedOn w:val="Coverdata"/>
    <w:uiPriority w:val="1"/>
    <w:semiHidden/>
    <w:unhideWhenUsed/>
    <w:rsid w:val="00B97816"/>
    <w:pPr>
      <w:spacing w:line="200" w:lineRule="atLeast"/>
      <w:jc w:val="left"/>
    </w:pPr>
    <w:rPr>
      <w:rFonts w:asciiTheme="minorHAnsi" w:hAnsiTheme="minorHAnsi"/>
    </w:rPr>
  </w:style>
  <w:style w:type="paragraph" w:customStyle="1" w:styleId="Subtitleheading">
    <w:name w:val="Subtitle heading"/>
    <w:basedOn w:val="Subtitle"/>
    <w:uiPriority w:val="1"/>
    <w:semiHidden/>
    <w:unhideWhenUsed/>
    <w:rsid w:val="00AA75D4"/>
  </w:style>
  <w:style w:type="character" w:styleId="Strong">
    <w:name w:val="Strong"/>
    <w:basedOn w:val="DefaultParagraphFont"/>
    <w:uiPriority w:val="22"/>
    <w:semiHidden/>
    <w:unhideWhenUsed/>
    <w:rsid w:val="00542F08"/>
    <w:rPr>
      <w:b/>
      <w:bCs/>
    </w:rPr>
  </w:style>
  <w:style w:type="paragraph" w:styleId="CommentText">
    <w:name w:val="annotation text"/>
    <w:basedOn w:val="Normal"/>
    <w:link w:val="CommentTextChar"/>
    <w:uiPriority w:val="99"/>
    <w:unhideWhenUsed/>
    <w:rsid w:val="00542F08"/>
    <w:pPr>
      <w:spacing w:line="240" w:lineRule="auto"/>
    </w:pPr>
    <w:rPr>
      <w:sz w:val="20"/>
      <w:szCs w:val="20"/>
    </w:rPr>
  </w:style>
  <w:style w:type="character" w:customStyle="1" w:styleId="CommentTextChar">
    <w:name w:val="Comment Text Char"/>
    <w:basedOn w:val="DefaultParagraphFont"/>
    <w:link w:val="CommentText"/>
    <w:uiPriority w:val="99"/>
    <w:rsid w:val="00F66A91"/>
    <w:rPr>
      <w:kern w:val="18"/>
      <w:sz w:val="20"/>
      <w:szCs w:val="20"/>
    </w:rPr>
  </w:style>
  <w:style w:type="paragraph" w:styleId="CommentSubject">
    <w:name w:val="annotation subject"/>
    <w:basedOn w:val="CommentText"/>
    <w:next w:val="CommentText"/>
    <w:link w:val="CommentSubjectChar"/>
    <w:uiPriority w:val="99"/>
    <w:semiHidden/>
    <w:unhideWhenUsed/>
    <w:rsid w:val="00542F08"/>
    <w:rPr>
      <w:b/>
      <w:bCs/>
    </w:rPr>
  </w:style>
  <w:style w:type="character" w:customStyle="1" w:styleId="CommentSubjectChar">
    <w:name w:val="Comment Subject Char"/>
    <w:basedOn w:val="CommentTextChar"/>
    <w:link w:val="CommentSubject"/>
    <w:uiPriority w:val="99"/>
    <w:semiHidden/>
    <w:rsid w:val="00F66A91"/>
    <w:rPr>
      <w:b/>
      <w:bCs/>
      <w:kern w:val="18"/>
      <w:sz w:val="20"/>
      <w:szCs w:val="20"/>
    </w:rPr>
  </w:style>
  <w:style w:type="paragraph" w:customStyle="1" w:styleId="Heading">
    <w:name w:val="Heading"/>
    <w:basedOn w:val="BodyText"/>
    <w:next w:val="BodyText"/>
    <w:uiPriority w:val="1"/>
    <w:unhideWhenUsed/>
    <w:rsid w:val="008952D6"/>
    <w:pPr>
      <w:spacing w:after="120"/>
    </w:pPr>
    <w:rPr>
      <w:rFonts w:asciiTheme="majorHAnsi" w:hAnsiTheme="majorHAnsi" w:cstheme="majorHAnsi"/>
      <w:color w:val="000000" w:themeColor="text2"/>
      <w:sz w:val="24"/>
    </w:rPr>
  </w:style>
  <w:style w:type="paragraph" w:styleId="TableofFigures">
    <w:name w:val="table of figures"/>
    <w:basedOn w:val="Normal"/>
    <w:next w:val="Normal"/>
    <w:uiPriority w:val="99"/>
    <w:unhideWhenUsed/>
    <w:rsid w:val="00A34EE8"/>
    <w:pPr>
      <w:tabs>
        <w:tab w:val="clear" w:pos="284"/>
        <w:tab w:val="right" w:leader="dot" w:pos="9026"/>
      </w:tabs>
    </w:pPr>
  </w:style>
  <w:style w:type="numbering" w:customStyle="1" w:styleId="AECOMSectionnumbering">
    <w:name w:val="AECOM Section numbering"/>
    <w:uiPriority w:val="99"/>
    <w:semiHidden/>
    <w:unhideWhenUsed/>
    <w:rsid w:val="0055609F"/>
    <w:pPr>
      <w:numPr>
        <w:numId w:val="10"/>
      </w:numPr>
    </w:pPr>
  </w:style>
  <w:style w:type="paragraph" w:styleId="BalloonText">
    <w:name w:val="Balloon Text"/>
    <w:basedOn w:val="Normal"/>
    <w:link w:val="BalloonTextChar"/>
    <w:uiPriority w:val="99"/>
    <w:semiHidden/>
    <w:unhideWhenUsed/>
    <w:rsid w:val="00F97FC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6A91"/>
    <w:rPr>
      <w:rFonts w:ascii="Tahoma" w:hAnsi="Tahoma" w:cs="Tahoma"/>
      <w:kern w:val="18"/>
      <w:sz w:val="16"/>
      <w:szCs w:val="16"/>
    </w:rPr>
  </w:style>
  <w:style w:type="paragraph" w:styleId="Quote">
    <w:name w:val="Quote"/>
    <w:basedOn w:val="Normal"/>
    <w:next w:val="Normal"/>
    <w:link w:val="QuoteChar"/>
    <w:uiPriority w:val="21"/>
    <w:qFormat/>
    <w:rsid w:val="00854622"/>
    <w:pPr>
      <w:spacing w:after="120"/>
      <w:ind w:left="851" w:right="567"/>
    </w:pPr>
    <w:rPr>
      <w:i/>
      <w:iCs/>
      <w:color w:val="000000" w:themeColor="text1"/>
    </w:rPr>
  </w:style>
  <w:style w:type="character" w:customStyle="1" w:styleId="QuoteChar">
    <w:name w:val="Quote Char"/>
    <w:basedOn w:val="DefaultParagraphFont"/>
    <w:link w:val="Quote"/>
    <w:uiPriority w:val="20"/>
    <w:semiHidden/>
    <w:rsid w:val="00F66A91"/>
    <w:rPr>
      <w:i/>
      <w:iCs/>
      <w:color w:val="000000" w:themeColor="text1"/>
      <w:kern w:val="18"/>
    </w:rPr>
  </w:style>
  <w:style w:type="numbering" w:styleId="111111">
    <w:name w:val="Outline List 2"/>
    <w:basedOn w:val="NoList"/>
    <w:uiPriority w:val="99"/>
    <w:semiHidden/>
    <w:unhideWhenUsed/>
    <w:rsid w:val="004C255D"/>
    <w:pPr>
      <w:numPr>
        <w:numId w:val="11"/>
      </w:numPr>
    </w:pPr>
  </w:style>
  <w:style w:type="numbering" w:styleId="1ai">
    <w:name w:val="Outline List 1"/>
    <w:basedOn w:val="NoList"/>
    <w:uiPriority w:val="99"/>
    <w:semiHidden/>
    <w:unhideWhenUsed/>
    <w:rsid w:val="004C255D"/>
    <w:pPr>
      <w:numPr>
        <w:numId w:val="12"/>
      </w:numPr>
    </w:pPr>
  </w:style>
  <w:style w:type="numbering" w:styleId="ArticleSection">
    <w:name w:val="Outline List 3"/>
    <w:basedOn w:val="NoList"/>
    <w:uiPriority w:val="99"/>
    <w:semiHidden/>
    <w:unhideWhenUsed/>
    <w:rsid w:val="004C255D"/>
    <w:pPr>
      <w:numPr>
        <w:numId w:val="13"/>
      </w:numPr>
    </w:pPr>
  </w:style>
  <w:style w:type="paragraph" w:styleId="Bibliography">
    <w:name w:val="Bibliography"/>
    <w:basedOn w:val="Normal"/>
    <w:next w:val="Normal"/>
    <w:uiPriority w:val="37"/>
    <w:semiHidden/>
    <w:unhideWhenUsed/>
    <w:rsid w:val="004C255D"/>
  </w:style>
  <w:style w:type="paragraph" w:styleId="BlockText">
    <w:name w:val="Block Text"/>
    <w:basedOn w:val="Normal"/>
    <w:uiPriority w:val="99"/>
    <w:semiHidden/>
    <w:unhideWhenUsed/>
    <w:rsid w:val="004C255D"/>
    <w:pPr>
      <w:pBdr>
        <w:top w:val="single" w:sz="2" w:space="10" w:color="00B5E2" w:themeColor="accent1" w:shadow="1" w:frame="1"/>
        <w:left w:val="single" w:sz="2" w:space="10" w:color="00B5E2" w:themeColor="accent1" w:shadow="1" w:frame="1"/>
        <w:bottom w:val="single" w:sz="2" w:space="10" w:color="00B5E2" w:themeColor="accent1" w:shadow="1" w:frame="1"/>
        <w:right w:val="single" w:sz="2" w:space="10" w:color="00B5E2" w:themeColor="accent1" w:shadow="1" w:frame="1"/>
      </w:pBdr>
      <w:ind w:left="1152" w:right="1152"/>
    </w:pPr>
    <w:rPr>
      <w:rFonts w:eastAsiaTheme="minorEastAsia"/>
      <w:i/>
      <w:iCs/>
      <w:color w:val="00B5E2" w:themeColor="accent1"/>
    </w:rPr>
  </w:style>
  <w:style w:type="paragraph" w:styleId="BodyText2">
    <w:name w:val="Body Text 2"/>
    <w:basedOn w:val="Normal"/>
    <w:link w:val="BodyText2Char"/>
    <w:uiPriority w:val="99"/>
    <w:semiHidden/>
    <w:unhideWhenUsed/>
    <w:rsid w:val="004C255D"/>
    <w:pPr>
      <w:spacing w:after="120" w:line="480" w:lineRule="auto"/>
    </w:pPr>
  </w:style>
  <w:style w:type="character" w:customStyle="1" w:styleId="BodyText2Char">
    <w:name w:val="Body Text 2 Char"/>
    <w:basedOn w:val="DefaultParagraphFont"/>
    <w:link w:val="BodyText2"/>
    <w:uiPriority w:val="99"/>
    <w:semiHidden/>
    <w:rsid w:val="00F66A91"/>
    <w:rPr>
      <w:kern w:val="18"/>
    </w:rPr>
  </w:style>
  <w:style w:type="paragraph" w:styleId="BodyText3">
    <w:name w:val="Body Text 3"/>
    <w:basedOn w:val="Normal"/>
    <w:link w:val="BodyText3Char"/>
    <w:uiPriority w:val="99"/>
    <w:semiHidden/>
    <w:unhideWhenUsed/>
    <w:rsid w:val="004C255D"/>
    <w:pPr>
      <w:spacing w:after="120"/>
    </w:pPr>
    <w:rPr>
      <w:sz w:val="16"/>
      <w:szCs w:val="16"/>
    </w:rPr>
  </w:style>
  <w:style w:type="character" w:customStyle="1" w:styleId="BodyText3Char">
    <w:name w:val="Body Text 3 Char"/>
    <w:basedOn w:val="DefaultParagraphFont"/>
    <w:link w:val="BodyText3"/>
    <w:uiPriority w:val="99"/>
    <w:semiHidden/>
    <w:rsid w:val="00F66A91"/>
    <w:rPr>
      <w:kern w:val="18"/>
      <w:sz w:val="16"/>
      <w:szCs w:val="16"/>
    </w:rPr>
  </w:style>
  <w:style w:type="paragraph" w:styleId="BodyTextFirstIndent">
    <w:name w:val="Body Text First Indent"/>
    <w:basedOn w:val="BodyText"/>
    <w:link w:val="BodyTextFirstIndentChar"/>
    <w:uiPriority w:val="99"/>
    <w:semiHidden/>
    <w:unhideWhenUsed/>
    <w:rsid w:val="004C255D"/>
    <w:pPr>
      <w:spacing w:after="0"/>
      <w:ind w:firstLine="360"/>
    </w:pPr>
  </w:style>
  <w:style w:type="character" w:customStyle="1" w:styleId="BodyTextFirstIndentChar">
    <w:name w:val="Body Text First Indent Char"/>
    <w:basedOn w:val="BodyTextChar"/>
    <w:link w:val="BodyTextFirstIndent"/>
    <w:uiPriority w:val="99"/>
    <w:semiHidden/>
    <w:rsid w:val="00F66A91"/>
    <w:rPr>
      <w:kern w:val="18"/>
    </w:rPr>
  </w:style>
  <w:style w:type="paragraph" w:styleId="BodyTextIndent">
    <w:name w:val="Body Text Indent"/>
    <w:basedOn w:val="Normal"/>
    <w:link w:val="BodyTextIndentChar"/>
    <w:uiPriority w:val="99"/>
    <w:semiHidden/>
    <w:unhideWhenUsed/>
    <w:rsid w:val="004C255D"/>
    <w:pPr>
      <w:spacing w:after="120"/>
      <w:ind w:left="283"/>
    </w:pPr>
  </w:style>
  <w:style w:type="character" w:customStyle="1" w:styleId="BodyTextIndentChar">
    <w:name w:val="Body Text Indent Char"/>
    <w:basedOn w:val="DefaultParagraphFont"/>
    <w:link w:val="BodyTextIndent"/>
    <w:uiPriority w:val="99"/>
    <w:semiHidden/>
    <w:rsid w:val="00F66A91"/>
    <w:rPr>
      <w:kern w:val="18"/>
    </w:rPr>
  </w:style>
  <w:style w:type="paragraph" w:styleId="BodyTextFirstIndent2">
    <w:name w:val="Body Text First Indent 2"/>
    <w:basedOn w:val="BodyTextIndent"/>
    <w:link w:val="BodyTextFirstIndent2Char"/>
    <w:uiPriority w:val="99"/>
    <w:semiHidden/>
    <w:unhideWhenUsed/>
    <w:rsid w:val="004C255D"/>
    <w:pPr>
      <w:spacing w:after="0"/>
      <w:ind w:left="360" w:firstLine="360"/>
    </w:pPr>
  </w:style>
  <w:style w:type="character" w:customStyle="1" w:styleId="BodyTextFirstIndent2Char">
    <w:name w:val="Body Text First Indent 2 Char"/>
    <w:basedOn w:val="BodyTextIndentChar"/>
    <w:link w:val="BodyTextFirstIndent2"/>
    <w:uiPriority w:val="99"/>
    <w:semiHidden/>
    <w:rsid w:val="00F66A91"/>
    <w:rPr>
      <w:kern w:val="18"/>
    </w:rPr>
  </w:style>
  <w:style w:type="paragraph" w:styleId="BodyTextIndent2">
    <w:name w:val="Body Text Indent 2"/>
    <w:basedOn w:val="Normal"/>
    <w:link w:val="BodyTextIndent2Char"/>
    <w:uiPriority w:val="99"/>
    <w:semiHidden/>
    <w:unhideWhenUsed/>
    <w:rsid w:val="004C255D"/>
    <w:pPr>
      <w:spacing w:after="120" w:line="480" w:lineRule="auto"/>
      <w:ind w:left="283"/>
    </w:pPr>
  </w:style>
  <w:style w:type="character" w:customStyle="1" w:styleId="BodyTextIndent2Char">
    <w:name w:val="Body Text Indent 2 Char"/>
    <w:basedOn w:val="DefaultParagraphFont"/>
    <w:link w:val="BodyTextIndent2"/>
    <w:uiPriority w:val="99"/>
    <w:semiHidden/>
    <w:rsid w:val="00F66A91"/>
    <w:rPr>
      <w:kern w:val="18"/>
    </w:rPr>
  </w:style>
  <w:style w:type="paragraph" w:styleId="BodyTextIndent3">
    <w:name w:val="Body Text Indent 3"/>
    <w:basedOn w:val="Normal"/>
    <w:link w:val="BodyTextIndent3Char"/>
    <w:uiPriority w:val="99"/>
    <w:semiHidden/>
    <w:unhideWhenUsed/>
    <w:rsid w:val="004C255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F66A91"/>
    <w:rPr>
      <w:kern w:val="18"/>
      <w:sz w:val="16"/>
      <w:szCs w:val="16"/>
    </w:rPr>
  </w:style>
  <w:style w:type="character" w:styleId="BookTitle">
    <w:name w:val="Book Title"/>
    <w:basedOn w:val="DefaultParagraphFont"/>
    <w:uiPriority w:val="33"/>
    <w:semiHidden/>
    <w:unhideWhenUsed/>
    <w:rsid w:val="004C255D"/>
    <w:rPr>
      <w:b/>
      <w:bCs/>
      <w:smallCaps/>
      <w:spacing w:val="5"/>
    </w:rPr>
  </w:style>
  <w:style w:type="paragraph" w:styleId="Closing">
    <w:name w:val="Closing"/>
    <w:basedOn w:val="Normal"/>
    <w:link w:val="ClosingChar"/>
    <w:uiPriority w:val="99"/>
    <w:semiHidden/>
    <w:unhideWhenUsed/>
    <w:rsid w:val="004C255D"/>
    <w:pPr>
      <w:spacing w:line="240" w:lineRule="auto"/>
      <w:ind w:left="4252"/>
    </w:pPr>
  </w:style>
  <w:style w:type="character" w:customStyle="1" w:styleId="ClosingChar">
    <w:name w:val="Closing Char"/>
    <w:basedOn w:val="DefaultParagraphFont"/>
    <w:link w:val="Closing"/>
    <w:uiPriority w:val="99"/>
    <w:semiHidden/>
    <w:rsid w:val="00F66A91"/>
    <w:rPr>
      <w:kern w:val="18"/>
    </w:rPr>
  </w:style>
  <w:style w:type="character" w:styleId="CommentReference">
    <w:name w:val="annotation reference"/>
    <w:basedOn w:val="DefaultParagraphFont"/>
    <w:uiPriority w:val="99"/>
    <w:semiHidden/>
    <w:unhideWhenUsed/>
    <w:rsid w:val="004C255D"/>
    <w:rPr>
      <w:sz w:val="16"/>
      <w:szCs w:val="16"/>
    </w:rPr>
  </w:style>
  <w:style w:type="paragraph" w:styleId="Date">
    <w:name w:val="Date"/>
    <w:basedOn w:val="Normal"/>
    <w:next w:val="Normal"/>
    <w:link w:val="DateChar"/>
    <w:uiPriority w:val="99"/>
    <w:semiHidden/>
    <w:unhideWhenUsed/>
    <w:rsid w:val="004C255D"/>
  </w:style>
  <w:style w:type="character" w:customStyle="1" w:styleId="DateChar">
    <w:name w:val="Date Char"/>
    <w:basedOn w:val="DefaultParagraphFont"/>
    <w:link w:val="Date"/>
    <w:uiPriority w:val="99"/>
    <w:semiHidden/>
    <w:rsid w:val="00F66A91"/>
    <w:rPr>
      <w:kern w:val="18"/>
    </w:rPr>
  </w:style>
  <w:style w:type="paragraph" w:styleId="DocumentMap">
    <w:name w:val="Document Map"/>
    <w:basedOn w:val="Normal"/>
    <w:link w:val="DocumentMapChar"/>
    <w:uiPriority w:val="99"/>
    <w:semiHidden/>
    <w:unhideWhenUsed/>
    <w:rsid w:val="004C255D"/>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F66A91"/>
    <w:rPr>
      <w:rFonts w:ascii="Tahoma" w:hAnsi="Tahoma" w:cs="Tahoma"/>
      <w:kern w:val="18"/>
      <w:sz w:val="16"/>
      <w:szCs w:val="16"/>
    </w:rPr>
  </w:style>
  <w:style w:type="paragraph" w:styleId="E-mailSignature">
    <w:name w:val="E-mail Signature"/>
    <w:basedOn w:val="Normal"/>
    <w:link w:val="E-mailSignatureChar"/>
    <w:uiPriority w:val="99"/>
    <w:semiHidden/>
    <w:unhideWhenUsed/>
    <w:rsid w:val="004C255D"/>
    <w:pPr>
      <w:spacing w:line="240" w:lineRule="auto"/>
    </w:pPr>
  </w:style>
  <w:style w:type="character" w:customStyle="1" w:styleId="E-mailSignatureChar">
    <w:name w:val="E-mail Signature Char"/>
    <w:basedOn w:val="DefaultParagraphFont"/>
    <w:link w:val="E-mailSignature"/>
    <w:uiPriority w:val="99"/>
    <w:semiHidden/>
    <w:rsid w:val="00F66A91"/>
    <w:rPr>
      <w:kern w:val="18"/>
    </w:rPr>
  </w:style>
  <w:style w:type="character" w:styleId="Emphasis">
    <w:name w:val="Emphasis"/>
    <w:basedOn w:val="DefaultParagraphFont"/>
    <w:uiPriority w:val="20"/>
    <w:semiHidden/>
    <w:unhideWhenUsed/>
    <w:rsid w:val="004C255D"/>
    <w:rPr>
      <w:i/>
      <w:iCs/>
    </w:rPr>
  </w:style>
  <w:style w:type="character" w:styleId="EndnoteReference">
    <w:name w:val="endnote reference"/>
    <w:basedOn w:val="DefaultParagraphFont"/>
    <w:uiPriority w:val="99"/>
    <w:semiHidden/>
    <w:unhideWhenUsed/>
    <w:rsid w:val="004C255D"/>
    <w:rPr>
      <w:vertAlign w:val="superscript"/>
    </w:rPr>
  </w:style>
  <w:style w:type="paragraph" w:styleId="EndnoteText">
    <w:name w:val="endnote text"/>
    <w:basedOn w:val="Normal"/>
    <w:link w:val="EndnoteTextChar"/>
    <w:uiPriority w:val="99"/>
    <w:semiHidden/>
    <w:unhideWhenUsed/>
    <w:rsid w:val="004C255D"/>
    <w:pPr>
      <w:spacing w:line="240" w:lineRule="auto"/>
    </w:pPr>
    <w:rPr>
      <w:sz w:val="20"/>
      <w:szCs w:val="20"/>
    </w:rPr>
  </w:style>
  <w:style w:type="character" w:customStyle="1" w:styleId="EndnoteTextChar">
    <w:name w:val="Endnote Text Char"/>
    <w:basedOn w:val="DefaultParagraphFont"/>
    <w:link w:val="EndnoteText"/>
    <w:uiPriority w:val="99"/>
    <w:semiHidden/>
    <w:rsid w:val="00F66A91"/>
    <w:rPr>
      <w:kern w:val="18"/>
      <w:sz w:val="20"/>
      <w:szCs w:val="20"/>
    </w:rPr>
  </w:style>
  <w:style w:type="paragraph" w:styleId="EnvelopeAddress">
    <w:name w:val="envelope address"/>
    <w:basedOn w:val="Normal"/>
    <w:uiPriority w:val="99"/>
    <w:semiHidden/>
    <w:unhideWhenUsed/>
    <w:rsid w:val="004C255D"/>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4C255D"/>
    <w:pPr>
      <w:spacing w:line="240" w:lineRule="auto"/>
    </w:pPr>
    <w:rPr>
      <w:rFonts w:asciiTheme="majorHAnsi" w:eastAsiaTheme="majorEastAsia" w:hAnsiTheme="majorHAnsi" w:cstheme="majorBidi"/>
      <w:sz w:val="20"/>
      <w:szCs w:val="20"/>
    </w:rPr>
  </w:style>
  <w:style w:type="character" w:styleId="HTMLAcronym">
    <w:name w:val="HTML Acronym"/>
    <w:basedOn w:val="DefaultParagraphFont"/>
    <w:uiPriority w:val="99"/>
    <w:semiHidden/>
    <w:unhideWhenUsed/>
    <w:rsid w:val="004C255D"/>
  </w:style>
  <w:style w:type="paragraph" w:styleId="HTMLAddress">
    <w:name w:val="HTML Address"/>
    <w:basedOn w:val="Normal"/>
    <w:link w:val="HTMLAddressChar"/>
    <w:uiPriority w:val="99"/>
    <w:semiHidden/>
    <w:unhideWhenUsed/>
    <w:rsid w:val="004C255D"/>
    <w:pPr>
      <w:spacing w:line="240" w:lineRule="auto"/>
    </w:pPr>
    <w:rPr>
      <w:i/>
      <w:iCs/>
    </w:rPr>
  </w:style>
  <w:style w:type="character" w:customStyle="1" w:styleId="HTMLAddressChar">
    <w:name w:val="HTML Address Char"/>
    <w:basedOn w:val="DefaultParagraphFont"/>
    <w:link w:val="HTMLAddress"/>
    <w:uiPriority w:val="99"/>
    <w:semiHidden/>
    <w:rsid w:val="00F66A91"/>
    <w:rPr>
      <w:i/>
      <w:iCs/>
      <w:kern w:val="18"/>
    </w:rPr>
  </w:style>
  <w:style w:type="character" w:styleId="HTMLCite">
    <w:name w:val="HTML Cite"/>
    <w:basedOn w:val="DefaultParagraphFont"/>
    <w:uiPriority w:val="99"/>
    <w:semiHidden/>
    <w:unhideWhenUsed/>
    <w:rsid w:val="004C255D"/>
    <w:rPr>
      <w:i/>
      <w:iCs/>
    </w:rPr>
  </w:style>
  <w:style w:type="character" w:styleId="HTMLCode">
    <w:name w:val="HTML Code"/>
    <w:basedOn w:val="DefaultParagraphFont"/>
    <w:uiPriority w:val="99"/>
    <w:semiHidden/>
    <w:unhideWhenUsed/>
    <w:rsid w:val="004C255D"/>
    <w:rPr>
      <w:rFonts w:ascii="Consolas" w:hAnsi="Consolas"/>
      <w:sz w:val="20"/>
      <w:szCs w:val="20"/>
    </w:rPr>
  </w:style>
  <w:style w:type="character" w:styleId="HTMLDefinition">
    <w:name w:val="HTML Definition"/>
    <w:basedOn w:val="DefaultParagraphFont"/>
    <w:uiPriority w:val="99"/>
    <w:semiHidden/>
    <w:unhideWhenUsed/>
    <w:rsid w:val="004C255D"/>
    <w:rPr>
      <w:i/>
      <w:iCs/>
    </w:rPr>
  </w:style>
  <w:style w:type="character" w:styleId="HTMLKeyboard">
    <w:name w:val="HTML Keyboard"/>
    <w:basedOn w:val="DefaultParagraphFont"/>
    <w:uiPriority w:val="99"/>
    <w:semiHidden/>
    <w:unhideWhenUsed/>
    <w:rsid w:val="004C255D"/>
    <w:rPr>
      <w:rFonts w:ascii="Consolas" w:hAnsi="Consolas"/>
      <w:sz w:val="20"/>
      <w:szCs w:val="20"/>
    </w:rPr>
  </w:style>
  <w:style w:type="paragraph" w:styleId="HTMLPreformatted">
    <w:name w:val="HTML Preformatted"/>
    <w:basedOn w:val="Normal"/>
    <w:link w:val="HTMLPreformattedChar"/>
    <w:uiPriority w:val="99"/>
    <w:semiHidden/>
    <w:unhideWhenUsed/>
    <w:rsid w:val="004C255D"/>
    <w:pPr>
      <w:spacing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F66A91"/>
    <w:rPr>
      <w:rFonts w:ascii="Consolas" w:hAnsi="Consolas"/>
      <w:kern w:val="18"/>
      <w:sz w:val="20"/>
      <w:szCs w:val="20"/>
    </w:rPr>
  </w:style>
  <w:style w:type="character" w:styleId="HTMLSample">
    <w:name w:val="HTML Sample"/>
    <w:basedOn w:val="DefaultParagraphFont"/>
    <w:uiPriority w:val="99"/>
    <w:semiHidden/>
    <w:unhideWhenUsed/>
    <w:rsid w:val="004C255D"/>
    <w:rPr>
      <w:rFonts w:ascii="Consolas" w:hAnsi="Consolas"/>
      <w:sz w:val="24"/>
      <w:szCs w:val="24"/>
    </w:rPr>
  </w:style>
  <w:style w:type="character" w:styleId="HTMLTypewriter">
    <w:name w:val="HTML Typewriter"/>
    <w:basedOn w:val="DefaultParagraphFont"/>
    <w:uiPriority w:val="99"/>
    <w:semiHidden/>
    <w:unhideWhenUsed/>
    <w:rsid w:val="004C255D"/>
    <w:rPr>
      <w:rFonts w:ascii="Consolas" w:hAnsi="Consolas"/>
      <w:sz w:val="20"/>
      <w:szCs w:val="20"/>
    </w:rPr>
  </w:style>
  <w:style w:type="character" w:styleId="HTMLVariable">
    <w:name w:val="HTML Variable"/>
    <w:basedOn w:val="DefaultParagraphFont"/>
    <w:uiPriority w:val="99"/>
    <w:semiHidden/>
    <w:unhideWhenUsed/>
    <w:rsid w:val="004C255D"/>
    <w:rPr>
      <w:i/>
      <w:iCs/>
    </w:rPr>
  </w:style>
  <w:style w:type="paragraph" w:styleId="Index1">
    <w:name w:val="index 1"/>
    <w:basedOn w:val="Normal"/>
    <w:next w:val="Normal"/>
    <w:autoRedefine/>
    <w:uiPriority w:val="99"/>
    <w:semiHidden/>
    <w:unhideWhenUsed/>
    <w:rsid w:val="004C255D"/>
    <w:pPr>
      <w:tabs>
        <w:tab w:val="clear" w:pos="284"/>
      </w:tabs>
      <w:spacing w:line="240" w:lineRule="auto"/>
      <w:ind w:left="180" w:hanging="180"/>
    </w:pPr>
  </w:style>
  <w:style w:type="paragraph" w:styleId="Index2">
    <w:name w:val="index 2"/>
    <w:basedOn w:val="Normal"/>
    <w:next w:val="Normal"/>
    <w:autoRedefine/>
    <w:uiPriority w:val="99"/>
    <w:semiHidden/>
    <w:unhideWhenUsed/>
    <w:rsid w:val="004C255D"/>
    <w:pPr>
      <w:tabs>
        <w:tab w:val="clear" w:pos="284"/>
      </w:tabs>
      <w:spacing w:line="240" w:lineRule="auto"/>
      <w:ind w:left="360" w:hanging="180"/>
    </w:pPr>
  </w:style>
  <w:style w:type="paragraph" w:styleId="Index3">
    <w:name w:val="index 3"/>
    <w:basedOn w:val="Normal"/>
    <w:next w:val="Normal"/>
    <w:autoRedefine/>
    <w:uiPriority w:val="99"/>
    <w:semiHidden/>
    <w:unhideWhenUsed/>
    <w:rsid w:val="004C255D"/>
    <w:pPr>
      <w:tabs>
        <w:tab w:val="clear" w:pos="284"/>
      </w:tabs>
      <w:spacing w:line="240" w:lineRule="auto"/>
      <w:ind w:left="540" w:hanging="180"/>
    </w:pPr>
  </w:style>
  <w:style w:type="paragraph" w:styleId="Index4">
    <w:name w:val="index 4"/>
    <w:basedOn w:val="Normal"/>
    <w:next w:val="Normal"/>
    <w:autoRedefine/>
    <w:uiPriority w:val="99"/>
    <w:semiHidden/>
    <w:unhideWhenUsed/>
    <w:rsid w:val="004C255D"/>
    <w:pPr>
      <w:tabs>
        <w:tab w:val="clear" w:pos="284"/>
      </w:tabs>
      <w:spacing w:line="240" w:lineRule="auto"/>
      <w:ind w:left="720" w:hanging="180"/>
    </w:pPr>
  </w:style>
  <w:style w:type="paragraph" w:styleId="Index5">
    <w:name w:val="index 5"/>
    <w:basedOn w:val="Normal"/>
    <w:next w:val="Normal"/>
    <w:autoRedefine/>
    <w:uiPriority w:val="99"/>
    <w:semiHidden/>
    <w:unhideWhenUsed/>
    <w:rsid w:val="004C255D"/>
    <w:pPr>
      <w:tabs>
        <w:tab w:val="clear" w:pos="284"/>
      </w:tabs>
      <w:spacing w:line="240" w:lineRule="auto"/>
      <w:ind w:left="900" w:hanging="180"/>
    </w:pPr>
  </w:style>
  <w:style w:type="paragraph" w:styleId="Index6">
    <w:name w:val="index 6"/>
    <w:basedOn w:val="Normal"/>
    <w:next w:val="Normal"/>
    <w:autoRedefine/>
    <w:uiPriority w:val="99"/>
    <w:semiHidden/>
    <w:unhideWhenUsed/>
    <w:rsid w:val="004C255D"/>
    <w:pPr>
      <w:tabs>
        <w:tab w:val="clear" w:pos="284"/>
      </w:tabs>
      <w:spacing w:line="240" w:lineRule="auto"/>
      <w:ind w:left="1080" w:hanging="180"/>
    </w:pPr>
  </w:style>
  <w:style w:type="paragraph" w:styleId="Index7">
    <w:name w:val="index 7"/>
    <w:basedOn w:val="Normal"/>
    <w:next w:val="Normal"/>
    <w:autoRedefine/>
    <w:uiPriority w:val="99"/>
    <w:semiHidden/>
    <w:unhideWhenUsed/>
    <w:rsid w:val="004C255D"/>
    <w:pPr>
      <w:tabs>
        <w:tab w:val="clear" w:pos="284"/>
      </w:tabs>
      <w:spacing w:line="240" w:lineRule="auto"/>
      <w:ind w:left="1260" w:hanging="180"/>
    </w:pPr>
  </w:style>
  <w:style w:type="paragraph" w:styleId="Index8">
    <w:name w:val="index 8"/>
    <w:basedOn w:val="Normal"/>
    <w:next w:val="Normal"/>
    <w:autoRedefine/>
    <w:uiPriority w:val="99"/>
    <w:semiHidden/>
    <w:unhideWhenUsed/>
    <w:rsid w:val="004C255D"/>
    <w:pPr>
      <w:tabs>
        <w:tab w:val="clear" w:pos="284"/>
      </w:tabs>
      <w:spacing w:line="240" w:lineRule="auto"/>
      <w:ind w:left="1440" w:hanging="180"/>
    </w:pPr>
  </w:style>
  <w:style w:type="paragraph" w:styleId="Index9">
    <w:name w:val="index 9"/>
    <w:basedOn w:val="Normal"/>
    <w:next w:val="Normal"/>
    <w:autoRedefine/>
    <w:uiPriority w:val="99"/>
    <w:semiHidden/>
    <w:unhideWhenUsed/>
    <w:rsid w:val="004C255D"/>
    <w:pPr>
      <w:tabs>
        <w:tab w:val="clear" w:pos="284"/>
      </w:tabs>
      <w:spacing w:line="240" w:lineRule="auto"/>
      <w:ind w:left="1620" w:hanging="180"/>
    </w:pPr>
  </w:style>
  <w:style w:type="paragraph" w:styleId="IndexHeading">
    <w:name w:val="index heading"/>
    <w:basedOn w:val="Normal"/>
    <w:next w:val="Index1"/>
    <w:uiPriority w:val="99"/>
    <w:semiHidden/>
    <w:unhideWhenUsed/>
    <w:rsid w:val="004C255D"/>
    <w:rPr>
      <w:rFonts w:asciiTheme="majorHAnsi" w:eastAsiaTheme="majorEastAsia" w:hAnsiTheme="majorHAnsi" w:cstheme="majorBidi"/>
      <w:b/>
      <w:bCs/>
    </w:rPr>
  </w:style>
  <w:style w:type="character" w:styleId="IntenseEmphasis">
    <w:name w:val="Intense Emphasis"/>
    <w:basedOn w:val="DefaultParagraphFont"/>
    <w:uiPriority w:val="21"/>
    <w:semiHidden/>
    <w:unhideWhenUsed/>
    <w:rsid w:val="004C255D"/>
    <w:rPr>
      <w:b/>
      <w:bCs/>
      <w:i/>
      <w:iCs/>
      <w:color w:val="00B5E2" w:themeColor="accent1"/>
    </w:rPr>
  </w:style>
  <w:style w:type="paragraph" w:styleId="IntenseQuote">
    <w:name w:val="Intense Quote"/>
    <w:basedOn w:val="Normal"/>
    <w:next w:val="Normal"/>
    <w:link w:val="IntenseQuoteChar"/>
    <w:uiPriority w:val="30"/>
    <w:semiHidden/>
    <w:unhideWhenUsed/>
    <w:rsid w:val="004C255D"/>
    <w:pPr>
      <w:pBdr>
        <w:bottom w:val="single" w:sz="4" w:space="4" w:color="00B5E2" w:themeColor="accent1"/>
      </w:pBdr>
      <w:spacing w:before="200" w:after="280"/>
      <w:ind w:left="936" w:right="936"/>
    </w:pPr>
    <w:rPr>
      <w:b/>
      <w:bCs/>
      <w:i/>
      <w:iCs/>
      <w:color w:val="00B5E2" w:themeColor="accent1"/>
    </w:rPr>
  </w:style>
  <w:style w:type="character" w:customStyle="1" w:styleId="IntenseQuoteChar">
    <w:name w:val="Intense Quote Char"/>
    <w:basedOn w:val="DefaultParagraphFont"/>
    <w:link w:val="IntenseQuote"/>
    <w:uiPriority w:val="30"/>
    <w:semiHidden/>
    <w:rsid w:val="00F66A91"/>
    <w:rPr>
      <w:b/>
      <w:bCs/>
      <w:i/>
      <w:iCs/>
      <w:color w:val="00B5E2" w:themeColor="accent1"/>
      <w:kern w:val="18"/>
    </w:rPr>
  </w:style>
  <w:style w:type="character" w:styleId="IntenseReference">
    <w:name w:val="Intense Reference"/>
    <w:basedOn w:val="DefaultParagraphFont"/>
    <w:uiPriority w:val="32"/>
    <w:semiHidden/>
    <w:unhideWhenUsed/>
    <w:rsid w:val="004C255D"/>
    <w:rPr>
      <w:b/>
      <w:bCs/>
      <w:smallCaps/>
      <w:color w:val="84BD00" w:themeColor="accent2"/>
      <w:spacing w:val="5"/>
      <w:u w:val="single"/>
    </w:rPr>
  </w:style>
  <w:style w:type="character" w:styleId="LineNumber">
    <w:name w:val="line number"/>
    <w:basedOn w:val="DefaultParagraphFont"/>
    <w:uiPriority w:val="99"/>
    <w:semiHidden/>
    <w:unhideWhenUsed/>
    <w:rsid w:val="004C255D"/>
  </w:style>
  <w:style w:type="paragraph" w:styleId="List">
    <w:name w:val="List"/>
    <w:basedOn w:val="Normal"/>
    <w:uiPriority w:val="99"/>
    <w:semiHidden/>
    <w:unhideWhenUsed/>
    <w:rsid w:val="004C255D"/>
    <w:pPr>
      <w:ind w:left="283" w:hanging="283"/>
      <w:contextualSpacing/>
    </w:pPr>
  </w:style>
  <w:style w:type="paragraph" w:styleId="List2">
    <w:name w:val="List 2"/>
    <w:basedOn w:val="Normal"/>
    <w:uiPriority w:val="99"/>
    <w:semiHidden/>
    <w:unhideWhenUsed/>
    <w:rsid w:val="004C255D"/>
    <w:pPr>
      <w:ind w:left="566" w:hanging="283"/>
      <w:contextualSpacing/>
    </w:pPr>
  </w:style>
  <w:style w:type="paragraph" w:styleId="List3">
    <w:name w:val="List 3"/>
    <w:basedOn w:val="Normal"/>
    <w:uiPriority w:val="99"/>
    <w:semiHidden/>
    <w:unhideWhenUsed/>
    <w:rsid w:val="004C255D"/>
    <w:pPr>
      <w:ind w:left="849" w:hanging="283"/>
      <w:contextualSpacing/>
    </w:pPr>
  </w:style>
  <w:style w:type="paragraph" w:styleId="List4">
    <w:name w:val="List 4"/>
    <w:basedOn w:val="Normal"/>
    <w:uiPriority w:val="99"/>
    <w:semiHidden/>
    <w:unhideWhenUsed/>
    <w:rsid w:val="004C255D"/>
    <w:pPr>
      <w:ind w:left="1132" w:hanging="283"/>
      <w:contextualSpacing/>
    </w:pPr>
  </w:style>
  <w:style w:type="paragraph" w:styleId="List5">
    <w:name w:val="List 5"/>
    <w:basedOn w:val="Normal"/>
    <w:uiPriority w:val="99"/>
    <w:semiHidden/>
    <w:unhideWhenUsed/>
    <w:rsid w:val="004C255D"/>
    <w:pPr>
      <w:ind w:left="1415" w:hanging="283"/>
      <w:contextualSpacing/>
    </w:pPr>
  </w:style>
  <w:style w:type="paragraph" w:styleId="ListBullet4">
    <w:name w:val="List Bullet 4"/>
    <w:basedOn w:val="Normal"/>
    <w:uiPriority w:val="99"/>
    <w:semiHidden/>
    <w:unhideWhenUsed/>
    <w:rsid w:val="004C255D"/>
    <w:pPr>
      <w:numPr>
        <w:numId w:val="3"/>
      </w:numPr>
      <w:contextualSpacing/>
    </w:pPr>
  </w:style>
  <w:style w:type="paragraph" w:styleId="ListBullet5">
    <w:name w:val="List Bullet 5"/>
    <w:basedOn w:val="Normal"/>
    <w:uiPriority w:val="99"/>
    <w:semiHidden/>
    <w:unhideWhenUsed/>
    <w:rsid w:val="004C255D"/>
    <w:pPr>
      <w:numPr>
        <w:numId w:val="4"/>
      </w:numPr>
      <w:contextualSpacing/>
    </w:pPr>
  </w:style>
  <w:style w:type="paragraph" w:styleId="ListContinue">
    <w:name w:val="List Continue"/>
    <w:basedOn w:val="Normal"/>
    <w:uiPriority w:val="99"/>
    <w:semiHidden/>
    <w:unhideWhenUsed/>
    <w:rsid w:val="004C255D"/>
    <w:pPr>
      <w:spacing w:after="120"/>
      <w:ind w:left="283"/>
      <w:contextualSpacing/>
    </w:pPr>
  </w:style>
  <w:style w:type="paragraph" w:styleId="ListContinue2">
    <w:name w:val="List Continue 2"/>
    <w:basedOn w:val="Normal"/>
    <w:uiPriority w:val="99"/>
    <w:semiHidden/>
    <w:unhideWhenUsed/>
    <w:rsid w:val="004C255D"/>
    <w:pPr>
      <w:spacing w:after="120"/>
      <w:ind w:left="566"/>
      <w:contextualSpacing/>
    </w:pPr>
  </w:style>
  <w:style w:type="paragraph" w:styleId="ListContinue3">
    <w:name w:val="List Continue 3"/>
    <w:basedOn w:val="Normal"/>
    <w:uiPriority w:val="99"/>
    <w:semiHidden/>
    <w:unhideWhenUsed/>
    <w:rsid w:val="004C255D"/>
    <w:pPr>
      <w:spacing w:after="120"/>
      <w:ind w:left="849"/>
      <w:contextualSpacing/>
    </w:pPr>
  </w:style>
  <w:style w:type="paragraph" w:styleId="ListContinue4">
    <w:name w:val="List Continue 4"/>
    <w:basedOn w:val="Normal"/>
    <w:uiPriority w:val="99"/>
    <w:semiHidden/>
    <w:unhideWhenUsed/>
    <w:rsid w:val="004C255D"/>
    <w:pPr>
      <w:spacing w:after="120"/>
      <w:ind w:left="1132"/>
      <w:contextualSpacing/>
    </w:pPr>
  </w:style>
  <w:style w:type="paragraph" w:styleId="ListContinue5">
    <w:name w:val="List Continue 5"/>
    <w:basedOn w:val="Normal"/>
    <w:uiPriority w:val="99"/>
    <w:semiHidden/>
    <w:unhideWhenUsed/>
    <w:rsid w:val="004C255D"/>
    <w:pPr>
      <w:spacing w:after="120"/>
      <w:ind w:left="1415"/>
      <w:contextualSpacing/>
    </w:pPr>
  </w:style>
  <w:style w:type="paragraph" w:styleId="ListNumber4">
    <w:name w:val="List Number 4"/>
    <w:basedOn w:val="Normal"/>
    <w:uiPriority w:val="99"/>
    <w:semiHidden/>
    <w:unhideWhenUsed/>
    <w:rsid w:val="004C255D"/>
    <w:pPr>
      <w:numPr>
        <w:numId w:val="5"/>
      </w:numPr>
      <w:contextualSpacing/>
    </w:pPr>
  </w:style>
  <w:style w:type="paragraph" w:styleId="ListNumber5">
    <w:name w:val="List Number 5"/>
    <w:basedOn w:val="Normal"/>
    <w:uiPriority w:val="99"/>
    <w:semiHidden/>
    <w:unhideWhenUsed/>
    <w:rsid w:val="004C255D"/>
    <w:pPr>
      <w:numPr>
        <w:numId w:val="6"/>
      </w:numPr>
      <w:contextualSpacing/>
    </w:pPr>
  </w:style>
  <w:style w:type="paragraph" w:styleId="ListParagraph">
    <w:name w:val="List Paragraph"/>
    <w:basedOn w:val="Normal"/>
    <w:uiPriority w:val="34"/>
    <w:unhideWhenUsed/>
    <w:qFormat/>
    <w:rsid w:val="004C255D"/>
    <w:pPr>
      <w:ind w:left="720"/>
      <w:contextualSpacing/>
    </w:pPr>
  </w:style>
  <w:style w:type="paragraph" w:styleId="MacroText">
    <w:name w:val="macro"/>
    <w:link w:val="MacroTextChar"/>
    <w:uiPriority w:val="99"/>
    <w:semiHidden/>
    <w:unhideWhenUsed/>
    <w:rsid w:val="004C255D"/>
    <w:pPr>
      <w:tabs>
        <w:tab w:val="left" w:pos="480"/>
        <w:tab w:val="left" w:pos="960"/>
        <w:tab w:val="left" w:pos="1440"/>
        <w:tab w:val="left" w:pos="1920"/>
        <w:tab w:val="left" w:pos="2400"/>
        <w:tab w:val="left" w:pos="2880"/>
        <w:tab w:val="left" w:pos="3360"/>
        <w:tab w:val="left" w:pos="3840"/>
        <w:tab w:val="left" w:pos="4320"/>
      </w:tabs>
      <w:spacing w:line="240" w:lineRule="atLeast"/>
    </w:pPr>
    <w:rPr>
      <w:rFonts w:ascii="Consolas" w:hAnsi="Consolas"/>
      <w:sz w:val="20"/>
      <w:szCs w:val="20"/>
    </w:rPr>
  </w:style>
  <w:style w:type="character" w:customStyle="1" w:styleId="MacroTextChar">
    <w:name w:val="Macro Text Char"/>
    <w:basedOn w:val="DefaultParagraphFont"/>
    <w:link w:val="MacroText"/>
    <w:uiPriority w:val="99"/>
    <w:semiHidden/>
    <w:rsid w:val="00F66A91"/>
    <w:rPr>
      <w:rFonts w:ascii="Consolas" w:hAnsi="Consolas"/>
      <w:sz w:val="20"/>
      <w:szCs w:val="20"/>
    </w:rPr>
  </w:style>
  <w:style w:type="paragraph" w:styleId="MessageHeader">
    <w:name w:val="Message Header"/>
    <w:basedOn w:val="Normal"/>
    <w:link w:val="MessageHeaderChar"/>
    <w:uiPriority w:val="99"/>
    <w:semiHidden/>
    <w:unhideWhenUsed/>
    <w:rsid w:val="004C255D"/>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F66A91"/>
    <w:rPr>
      <w:rFonts w:asciiTheme="majorHAnsi" w:eastAsiaTheme="majorEastAsia" w:hAnsiTheme="majorHAnsi" w:cstheme="majorBidi"/>
      <w:kern w:val="18"/>
      <w:sz w:val="24"/>
      <w:szCs w:val="24"/>
      <w:shd w:val="pct20" w:color="auto" w:fill="auto"/>
    </w:rPr>
  </w:style>
  <w:style w:type="paragraph" w:styleId="NoSpacing">
    <w:name w:val="No Spacing"/>
    <w:uiPriority w:val="1"/>
    <w:semiHidden/>
    <w:unhideWhenUsed/>
    <w:rsid w:val="004C255D"/>
    <w:pPr>
      <w:tabs>
        <w:tab w:val="left" w:pos="284"/>
      </w:tabs>
    </w:pPr>
  </w:style>
  <w:style w:type="paragraph" w:styleId="NormalWeb">
    <w:name w:val="Normal (Web)"/>
    <w:basedOn w:val="Normal"/>
    <w:uiPriority w:val="99"/>
    <w:semiHidden/>
    <w:unhideWhenUsed/>
    <w:rsid w:val="004C255D"/>
    <w:rPr>
      <w:rFonts w:ascii="Times New Roman" w:hAnsi="Times New Roman" w:cs="Times New Roman"/>
      <w:sz w:val="24"/>
      <w:szCs w:val="24"/>
    </w:rPr>
  </w:style>
  <w:style w:type="paragraph" w:styleId="NormalIndent">
    <w:name w:val="Normal Indent"/>
    <w:basedOn w:val="Normal"/>
    <w:uiPriority w:val="99"/>
    <w:semiHidden/>
    <w:unhideWhenUsed/>
    <w:rsid w:val="004C255D"/>
    <w:pPr>
      <w:ind w:left="720"/>
    </w:pPr>
  </w:style>
  <w:style w:type="paragraph" w:styleId="NoteHeading">
    <w:name w:val="Note Heading"/>
    <w:basedOn w:val="Normal"/>
    <w:next w:val="Normal"/>
    <w:link w:val="NoteHeadingChar"/>
    <w:uiPriority w:val="99"/>
    <w:semiHidden/>
    <w:unhideWhenUsed/>
    <w:rsid w:val="004C255D"/>
    <w:pPr>
      <w:spacing w:line="240" w:lineRule="auto"/>
    </w:pPr>
  </w:style>
  <w:style w:type="character" w:customStyle="1" w:styleId="NoteHeadingChar">
    <w:name w:val="Note Heading Char"/>
    <w:basedOn w:val="DefaultParagraphFont"/>
    <w:link w:val="NoteHeading"/>
    <w:uiPriority w:val="99"/>
    <w:semiHidden/>
    <w:rsid w:val="00F66A91"/>
    <w:rPr>
      <w:kern w:val="18"/>
    </w:rPr>
  </w:style>
  <w:style w:type="character" w:styleId="PageNumber">
    <w:name w:val="page number"/>
    <w:basedOn w:val="DefaultParagraphFont"/>
    <w:uiPriority w:val="99"/>
    <w:semiHidden/>
    <w:unhideWhenUsed/>
    <w:rsid w:val="004C255D"/>
  </w:style>
  <w:style w:type="character" w:styleId="PlaceholderText">
    <w:name w:val="Placeholder Text"/>
    <w:basedOn w:val="DefaultParagraphFont"/>
    <w:uiPriority w:val="99"/>
    <w:semiHidden/>
    <w:unhideWhenUsed/>
    <w:rsid w:val="004C255D"/>
    <w:rPr>
      <w:color w:val="808080"/>
    </w:rPr>
  </w:style>
  <w:style w:type="paragraph" w:styleId="PlainText">
    <w:name w:val="Plain Text"/>
    <w:basedOn w:val="Normal"/>
    <w:link w:val="PlainTextChar"/>
    <w:uiPriority w:val="99"/>
    <w:semiHidden/>
    <w:unhideWhenUsed/>
    <w:rsid w:val="004C255D"/>
    <w:pPr>
      <w:spacing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F66A91"/>
    <w:rPr>
      <w:rFonts w:ascii="Consolas" w:hAnsi="Consolas"/>
      <w:kern w:val="18"/>
      <w:sz w:val="21"/>
      <w:szCs w:val="21"/>
    </w:rPr>
  </w:style>
  <w:style w:type="paragraph" w:styleId="Salutation">
    <w:name w:val="Salutation"/>
    <w:basedOn w:val="Normal"/>
    <w:next w:val="Normal"/>
    <w:link w:val="SalutationChar"/>
    <w:uiPriority w:val="99"/>
    <w:semiHidden/>
    <w:unhideWhenUsed/>
    <w:rsid w:val="004C255D"/>
  </w:style>
  <w:style w:type="character" w:customStyle="1" w:styleId="SalutationChar">
    <w:name w:val="Salutation Char"/>
    <w:basedOn w:val="DefaultParagraphFont"/>
    <w:link w:val="Salutation"/>
    <w:uiPriority w:val="99"/>
    <w:semiHidden/>
    <w:rsid w:val="00F66A91"/>
    <w:rPr>
      <w:kern w:val="18"/>
    </w:rPr>
  </w:style>
  <w:style w:type="paragraph" w:styleId="Signature">
    <w:name w:val="Signature"/>
    <w:basedOn w:val="Normal"/>
    <w:link w:val="SignatureChar"/>
    <w:uiPriority w:val="99"/>
    <w:semiHidden/>
    <w:unhideWhenUsed/>
    <w:rsid w:val="004C255D"/>
    <w:pPr>
      <w:spacing w:line="240" w:lineRule="auto"/>
      <w:ind w:left="4252"/>
    </w:pPr>
  </w:style>
  <w:style w:type="character" w:customStyle="1" w:styleId="SignatureChar">
    <w:name w:val="Signature Char"/>
    <w:basedOn w:val="DefaultParagraphFont"/>
    <w:link w:val="Signature"/>
    <w:uiPriority w:val="99"/>
    <w:semiHidden/>
    <w:rsid w:val="00F66A91"/>
    <w:rPr>
      <w:kern w:val="18"/>
    </w:rPr>
  </w:style>
  <w:style w:type="character" w:styleId="SubtleEmphasis">
    <w:name w:val="Subtle Emphasis"/>
    <w:basedOn w:val="DefaultParagraphFont"/>
    <w:uiPriority w:val="19"/>
    <w:semiHidden/>
    <w:unhideWhenUsed/>
    <w:rsid w:val="004C255D"/>
    <w:rPr>
      <w:i/>
      <w:iCs/>
      <w:color w:val="808080" w:themeColor="text1" w:themeTint="7F"/>
    </w:rPr>
  </w:style>
  <w:style w:type="character" w:styleId="SubtleReference">
    <w:name w:val="Subtle Reference"/>
    <w:basedOn w:val="DefaultParagraphFont"/>
    <w:uiPriority w:val="31"/>
    <w:semiHidden/>
    <w:unhideWhenUsed/>
    <w:rsid w:val="004C255D"/>
    <w:rPr>
      <w:smallCaps/>
      <w:color w:val="84BD00" w:themeColor="accent2"/>
      <w:u w:val="single"/>
    </w:rPr>
  </w:style>
  <w:style w:type="paragraph" w:styleId="TableofAuthorities">
    <w:name w:val="table of authorities"/>
    <w:basedOn w:val="Normal"/>
    <w:next w:val="Normal"/>
    <w:uiPriority w:val="99"/>
    <w:semiHidden/>
    <w:unhideWhenUsed/>
    <w:rsid w:val="004C255D"/>
    <w:pPr>
      <w:tabs>
        <w:tab w:val="clear" w:pos="284"/>
      </w:tabs>
      <w:ind w:left="180" w:hanging="180"/>
    </w:pPr>
  </w:style>
  <w:style w:type="paragraph" w:styleId="TOAHeading">
    <w:name w:val="toa heading"/>
    <w:basedOn w:val="Normal"/>
    <w:next w:val="Normal"/>
    <w:uiPriority w:val="99"/>
    <w:semiHidden/>
    <w:unhideWhenUsed/>
    <w:rsid w:val="004C255D"/>
    <w:pPr>
      <w:spacing w:before="120"/>
    </w:pPr>
    <w:rPr>
      <w:rFonts w:asciiTheme="majorHAnsi" w:eastAsiaTheme="majorEastAsia" w:hAnsiTheme="majorHAnsi" w:cstheme="majorBidi"/>
      <w:b/>
      <w:bCs/>
      <w:sz w:val="24"/>
      <w:szCs w:val="24"/>
    </w:rPr>
  </w:style>
  <w:style w:type="paragraph" w:styleId="TOC4">
    <w:name w:val="toc 4"/>
    <w:basedOn w:val="Normal"/>
    <w:next w:val="Normal"/>
    <w:autoRedefine/>
    <w:uiPriority w:val="39"/>
    <w:unhideWhenUsed/>
    <w:rsid w:val="003964F2"/>
    <w:pPr>
      <w:tabs>
        <w:tab w:val="clear" w:pos="284"/>
        <w:tab w:val="right" w:leader="dot" w:pos="9026"/>
      </w:tabs>
      <w:spacing w:after="40"/>
      <w:ind w:left="1134" w:hanging="567"/>
    </w:pPr>
  </w:style>
  <w:style w:type="paragraph" w:styleId="TOC5">
    <w:name w:val="toc 5"/>
    <w:basedOn w:val="Normal"/>
    <w:next w:val="Normal"/>
    <w:autoRedefine/>
    <w:uiPriority w:val="39"/>
    <w:semiHidden/>
    <w:unhideWhenUsed/>
    <w:rsid w:val="004C255D"/>
    <w:pPr>
      <w:tabs>
        <w:tab w:val="clear" w:pos="284"/>
      </w:tabs>
      <w:spacing w:after="100"/>
      <w:ind w:left="720"/>
    </w:pPr>
  </w:style>
  <w:style w:type="paragraph" w:styleId="TOC6">
    <w:name w:val="toc 6"/>
    <w:basedOn w:val="Normal"/>
    <w:next w:val="Normal"/>
    <w:autoRedefine/>
    <w:uiPriority w:val="39"/>
    <w:semiHidden/>
    <w:unhideWhenUsed/>
    <w:rsid w:val="004C255D"/>
    <w:pPr>
      <w:tabs>
        <w:tab w:val="clear" w:pos="284"/>
      </w:tabs>
      <w:spacing w:after="100"/>
      <w:ind w:left="900"/>
    </w:pPr>
  </w:style>
  <w:style w:type="paragraph" w:styleId="TOC7">
    <w:name w:val="toc 7"/>
    <w:basedOn w:val="Normal"/>
    <w:next w:val="Normal"/>
    <w:autoRedefine/>
    <w:uiPriority w:val="39"/>
    <w:semiHidden/>
    <w:unhideWhenUsed/>
    <w:rsid w:val="004C255D"/>
    <w:pPr>
      <w:tabs>
        <w:tab w:val="clear" w:pos="284"/>
      </w:tabs>
      <w:spacing w:after="100"/>
      <w:ind w:left="1080"/>
    </w:pPr>
  </w:style>
  <w:style w:type="paragraph" w:styleId="TOC8">
    <w:name w:val="toc 8"/>
    <w:basedOn w:val="Normal"/>
    <w:next w:val="Normal"/>
    <w:autoRedefine/>
    <w:uiPriority w:val="39"/>
    <w:semiHidden/>
    <w:unhideWhenUsed/>
    <w:rsid w:val="004C255D"/>
    <w:pPr>
      <w:tabs>
        <w:tab w:val="clear" w:pos="284"/>
      </w:tabs>
      <w:spacing w:after="100"/>
      <w:ind w:left="1260"/>
    </w:pPr>
  </w:style>
  <w:style w:type="paragraph" w:styleId="TOC9">
    <w:name w:val="toc 9"/>
    <w:basedOn w:val="Normal"/>
    <w:next w:val="Normal"/>
    <w:autoRedefine/>
    <w:uiPriority w:val="39"/>
    <w:semiHidden/>
    <w:unhideWhenUsed/>
    <w:rsid w:val="004C255D"/>
    <w:pPr>
      <w:tabs>
        <w:tab w:val="clear" w:pos="284"/>
      </w:tabs>
      <w:spacing w:after="100"/>
      <w:ind w:left="1440"/>
    </w:pPr>
  </w:style>
  <w:style w:type="paragraph" w:customStyle="1" w:styleId="CVHeading">
    <w:name w:val="CV Heading"/>
    <w:basedOn w:val="BodyText"/>
    <w:uiPriority w:val="23"/>
    <w:qFormat/>
    <w:rsid w:val="004C255D"/>
    <w:pPr>
      <w:tabs>
        <w:tab w:val="clear" w:pos="284"/>
      </w:tabs>
    </w:pPr>
    <w:rPr>
      <w:rFonts w:asciiTheme="majorHAnsi" w:hAnsiTheme="majorHAnsi"/>
      <w:b/>
      <w:sz w:val="24"/>
    </w:rPr>
  </w:style>
  <w:style w:type="paragraph" w:customStyle="1" w:styleId="CVIntroduction">
    <w:name w:val="CV Introduction"/>
    <w:basedOn w:val="BodyText"/>
    <w:uiPriority w:val="22"/>
    <w:qFormat/>
    <w:rsid w:val="004C255D"/>
    <w:pPr>
      <w:pBdr>
        <w:top w:val="single" w:sz="4" w:space="6" w:color="auto"/>
        <w:bottom w:val="single" w:sz="4" w:space="6" w:color="auto"/>
      </w:pBdr>
      <w:tabs>
        <w:tab w:val="clear" w:pos="284"/>
      </w:tabs>
    </w:pPr>
    <w:rPr>
      <w:sz w:val="28"/>
    </w:rPr>
  </w:style>
  <w:style w:type="paragraph" w:customStyle="1" w:styleId="CVTitle">
    <w:name w:val="CV Title"/>
    <w:basedOn w:val="Normal"/>
    <w:uiPriority w:val="1"/>
    <w:semiHidden/>
    <w:unhideWhenUsed/>
    <w:rsid w:val="004C255D"/>
    <w:pPr>
      <w:tabs>
        <w:tab w:val="clear" w:pos="284"/>
      </w:tabs>
    </w:pPr>
    <w:rPr>
      <w:rFonts w:asciiTheme="majorHAnsi" w:hAnsiTheme="majorHAnsi"/>
      <w:color w:val="000000" w:themeColor="text1"/>
      <w:sz w:val="32"/>
    </w:rPr>
  </w:style>
  <w:style w:type="table" w:customStyle="1" w:styleId="Tablenoborders">
    <w:name w:val="Table no borders"/>
    <w:basedOn w:val="TableNormal"/>
    <w:uiPriority w:val="99"/>
    <w:semiHidden/>
    <w:unhideWhenUsed/>
    <w:rsid w:val="00C314D3"/>
    <w:tblPr>
      <w:tblCellMar>
        <w:left w:w="0" w:type="dxa"/>
        <w:right w:w="0" w:type="dxa"/>
      </w:tblCellMar>
    </w:tblPr>
  </w:style>
  <w:style w:type="numbering" w:customStyle="1" w:styleId="AECOMTableBullets">
    <w:name w:val="AECOM Table Bullets"/>
    <w:uiPriority w:val="99"/>
    <w:semiHidden/>
    <w:unhideWhenUsed/>
    <w:rsid w:val="002740A7"/>
    <w:pPr>
      <w:numPr>
        <w:numId w:val="16"/>
      </w:numPr>
    </w:pPr>
  </w:style>
  <w:style w:type="numbering" w:customStyle="1" w:styleId="AECOMTableNumbering">
    <w:name w:val="AECOM Table Numbering"/>
    <w:uiPriority w:val="99"/>
    <w:semiHidden/>
    <w:unhideWhenUsed/>
    <w:rsid w:val="002740A7"/>
    <w:pPr>
      <w:numPr>
        <w:numId w:val="17"/>
      </w:numPr>
    </w:pPr>
  </w:style>
  <w:style w:type="paragraph" w:customStyle="1" w:styleId="TableListBullet">
    <w:name w:val="Table List Bullet"/>
    <w:basedOn w:val="Normal"/>
    <w:uiPriority w:val="15"/>
    <w:qFormat/>
    <w:rsid w:val="002740A7"/>
    <w:pPr>
      <w:numPr>
        <w:numId w:val="19"/>
      </w:numPr>
      <w:tabs>
        <w:tab w:val="clear" w:pos="284"/>
      </w:tabs>
      <w:spacing w:after="40" w:line="240" w:lineRule="auto"/>
    </w:pPr>
    <w:rPr>
      <w:sz w:val="16"/>
    </w:rPr>
  </w:style>
  <w:style w:type="paragraph" w:customStyle="1" w:styleId="TableListBullet2">
    <w:name w:val="Table List Bullet 2"/>
    <w:basedOn w:val="Normal"/>
    <w:uiPriority w:val="16"/>
    <w:qFormat/>
    <w:rsid w:val="002740A7"/>
    <w:pPr>
      <w:numPr>
        <w:ilvl w:val="1"/>
        <w:numId w:val="19"/>
      </w:numPr>
      <w:tabs>
        <w:tab w:val="clear" w:pos="284"/>
      </w:tabs>
      <w:spacing w:after="40" w:line="240" w:lineRule="auto"/>
    </w:pPr>
    <w:rPr>
      <w:sz w:val="16"/>
    </w:rPr>
  </w:style>
  <w:style w:type="paragraph" w:customStyle="1" w:styleId="TableListBullet3">
    <w:name w:val="Table List Bullet 3"/>
    <w:basedOn w:val="Normal"/>
    <w:uiPriority w:val="17"/>
    <w:qFormat/>
    <w:rsid w:val="002740A7"/>
    <w:pPr>
      <w:numPr>
        <w:ilvl w:val="2"/>
        <w:numId w:val="19"/>
      </w:numPr>
      <w:tabs>
        <w:tab w:val="clear" w:pos="284"/>
      </w:tabs>
      <w:spacing w:after="40" w:line="240" w:lineRule="auto"/>
    </w:pPr>
    <w:rPr>
      <w:sz w:val="16"/>
    </w:rPr>
  </w:style>
  <w:style w:type="paragraph" w:customStyle="1" w:styleId="TableListNumber">
    <w:name w:val="Table List Number"/>
    <w:basedOn w:val="BodyText"/>
    <w:uiPriority w:val="18"/>
    <w:qFormat/>
    <w:rsid w:val="002740A7"/>
    <w:pPr>
      <w:numPr>
        <w:numId w:val="18"/>
      </w:numPr>
      <w:tabs>
        <w:tab w:val="clear" w:pos="284"/>
      </w:tabs>
      <w:spacing w:after="40" w:line="240" w:lineRule="auto"/>
    </w:pPr>
    <w:rPr>
      <w:sz w:val="16"/>
    </w:rPr>
  </w:style>
  <w:style w:type="paragraph" w:customStyle="1" w:styleId="TableListNumber2">
    <w:name w:val="Table List Number 2"/>
    <w:basedOn w:val="Normal"/>
    <w:uiPriority w:val="19"/>
    <w:qFormat/>
    <w:rsid w:val="002740A7"/>
    <w:pPr>
      <w:numPr>
        <w:ilvl w:val="1"/>
        <w:numId w:val="18"/>
      </w:numPr>
      <w:tabs>
        <w:tab w:val="clear" w:pos="284"/>
      </w:tabs>
      <w:spacing w:after="40" w:line="240" w:lineRule="auto"/>
    </w:pPr>
    <w:rPr>
      <w:sz w:val="16"/>
    </w:rPr>
  </w:style>
  <w:style w:type="paragraph" w:customStyle="1" w:styleId="TableListNumber3">
    <w:name w:val="Table List Number 3"/>
    <w:basedOn w:val="Normal"/>
    <w:uiPriority w:val="20"/>
    <w:qFormat/>
    <w:rsid w:val="002740A7"/>
    <w:pPr>
      <w:numPr>
        <w:ilvl w:val="2"/>
        <w:numId w:val="18"/>
      </w:numPr>
      <w:tabs>
        <w:tab w:val="clear" w:pos="284"/>
      </w:tabs>
      <w:spacing w:after="40" w:line="240" w:lineRule="auto"/>
    </w:pPr>
    <w:rPr>
      <w:sz w:val="16"/>
    </w:rPr>
  </w:style>
  <w:style w:type="paragraph" w:customStyle="1" w:styleId="Tabletext">
    <w:name w:val="Table text"/>
    <w:basedOn w:val="BodyText"/>
    <w:uiPriority w:val="14"/>
    <w:qFormat/>
    <w:rsid w:val="00AA045B"/>
    <w:pPr>
      <w:tabs>
        <w:tab w:val="clear" w:pos="284"/>
      </w:tabs>
      <w:spacing w:before="40" w:after="40" w:line="240" w:lineRule="auto"/>
    </w:pPr>
    <w:rPr>
      <w:sz w:val="16"/>
    </w:rPr>
  </w:style>
  <w:style w:type="paragraph" w:customStyle="1" w:styleId="Callout">
    <w:name w:val="Callout"/>
    <w:basedOn w:val="BodyText"/>
    <w:uiPriority w:val="1"/>
    <w:semiHidden/>
    <w:unhideWhenUsed/>
    <w:rsid w:val="00F352C7"/>
    <w:pPr>
      <w:spacing w:after="60"/>
    </w:pPr>
  </w:style>
  <w:style w:type="paragraph" w:customStyle="1" w:styleId="SQL">
    <w:name w:val="SQL"/>
    <w:uiPriority w:val="1"/>
    <w:semiHidden/>
    <w:unhideWhenUsed/>
    <w:rsid w:val="004D4675"/>
    <w:pPr>
      <w:spacing w:after="120" w:line="240" w:lineRule="atLeast"/>
    </w:pPr>
    <w:rPr>
      <w:sz w:val="16"/>
      <w:lang w:val="en-CA"/>
    </w:rPr>
  </w:style>
  <w:style w:type="table" w:customStyle="1" w:styleId="AECOMcolouredtable">
    <w:name w:val="AECOM coloured table"/>
    <w:basedOn w:val="TableNormal"/>
    <w:uiPriority w:val="99"/>
    <w:semiHidden/>
    <w:unhideWhenUsed/>
    <w:rsid w:val="00890ADA"/>
    <w:tblPr>
      <w:tblStyleRowBandSize w:val="1"/>
    </w:tblPr>
    <w:tblStylePr w:type="firstRow">
      <w:rPr>
        <w:b/>
        <w:color w:val="FFFFFF" w:themeColor="background1"/>
      </w:rPr>
      <w:tblPr/>
      <w:tcPr>
        <w:tcBorders>
          <w:bottom w:val="single" w:sz="12" w:space="0" w:color="FFFFFF" w:themeColor="background1"/>
          <w:insideV w:val="single" w:sz="4" w:space="0" w:color="FFFFFF" w:themeColor="background1"/>
        </w:tcBorders>
        <w:shd w:val="clear" w:color="auto" w:fill="00B5E2" w:themeFill="accent1"/>
      </w:tcPr>
    </w:tblStylePr>
    <w:tblStylePr w:type="firstCol">
      <w:rPr>
        <w:b/>
        <w:color w:val="FFFFFF" w:themeColor="background1"/>
      </w:rPr>
      <w:tblPr/>
      <w:tcPr>
        <w:tcBorders>
          <w:right w:val="single" w:sz="12" w:space="0" w:color="FFFFFF" w:themeColor="background1"/>
        </w:tcBorders>
        <w:shd w:val="clear" w:color="auto" w:fill="00B5E2" w:themeFill="accent1"/>
      </w:tcPr>
    </w:tblStylePr>
    <w:tblStylePr w:type="band1Horz">
      <w:tblPr/>
      <w:tcPr>
        <w:shd w:val="clear" w:color="auto" w:fill="C6F3FF" w:themeFill="accent1" w:themeFillTint="33"/>
      </w:tcPr>
    </w:tblStylePr>
    <w:tblStylePr w:type="band2Horz">
      <w:tblPr/>
      <w:tcPr>
        <w:shd w:val="clear" w:color="auto" w:fill="8DE8FF" w:themeFill="accent1" w:themeFillTint="66"/>
      </w:tcPr>
    </w:tblStylePr>
  </w:style>
  <w:style w:type="paragraph" w:customStyle="1" w:styleId="Appendixheading2">
    <w:name w:val="Appendix heading 2"/>
    <w:basedOn w:val="Heading2"/>
    <w:next w:val="BodyText"/>
    <w:uiPriority w:val="7"/>
    <w:qFormat/>
    <w:rsid w:val="005A1F44"/>
    <w:pPr>
      <w:numPr>
        <w:numId w:val="21"/>
      </w:numPr>
    </w:pPr>
  </w:style>
  <w:style w:type="paragraph" w:styleId="Revision">
    <w:name w:val="Revision"/>
    <w:hidden/>
    <w:uiPriority w:val="99"/>
    <w:semiHidden/>
    <w:rsid w:val="00C57544"/>
    <w:rPr>
      <w:kern w:val="18"/>
    </w:rPr>
  </w:style>
  <w:style w:type="paragraph" w:customStyle="1" w:styleId="Figure">
    <w:name w:val="Figure"/>
    <w:basedOn w:val="BodyText"/>
    <w:link w:val="FigureChar"/>
    <w:autoRedefine/>
    <w:uiPriority w:val="1"/>
    <w:qFormat/>
    <w:rsid w:val="00BE0DA4"/>
    <w:rPr>
      <w:b/>
      <w:sz w:val="20"/>
      <w:szCs w:val="22"/>
      <w:lang w:val="en-US"/>
    </w:rPr>
  </w:style>
  <w:style w:type="character" w:customStyle="1" w:styleId="FigureChar">
    <w:name w:val="Figure Char"/>
    <w:basedOn w:val="BodyTextChar"/>
    <w:link w:val="Figure"/>
    <w:uiPriority w:val="1"/>
    <w:rsid w:val="00BE0DA4"/>
    <w:rPr>
      <w:b/>
      <w:kern w:val="18"/>
      <w:sz w:val="20"/>
      <w:szCs w:val="22"/>
      <w:lang w:val="en-US"/>
    </w:rPr>
  </w:style>
  <w:style w:type="paragraph" w:customStyle="1" w:styleId="2BodyText">
    <w:name w:val="2 BodyText"/>
    <w:basedOn w:val="Normal"/>
    <w:rsid w:val="00D370D8"/>
    <w:pPr>
      <w:tabs>
        <w:tab w:val="clear" w:pos="284"/>
      </w:tabs>
      <w:spacing w:after="240"/>
    </w:pPr>
    <w:rPr>
      <w:rFonts w:ascii="Arial" w:eastAsia="Times New Roman" w:hAnsi="Arial" w:cs="Times New Roman"/>
      <w:kern w:val="0"/>
      <w:szCs w:val="2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18"/>
        <w:szCs w:val="18"/>
        <w:lang w:val="en-GB" w:eastAsia="en-US"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2" w:unhideWhenUsed="0" w:qFormat="1"/>
    <w:lsdException w:name="heading 2" w:uiPriority="3" w:unhideWhenUsed="0" w:qFormat="1"/>
    <w:lsdException w:name="heading 3" w:uiPriority="4" w:unhideWhenUsed="0" w:qFormat="1"/>
    <w:lsdException w:name="heading 4" w:uiPriority="5" w:unhideWhenUsed="0" w:qFormat="1"/>
    <w:lsdException w:name="heading 5" w:uiPriority="9"/>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24" w:unhideWhenUsed="0" w:qFormat="1"/>
    <w:lsdException w:name="List Bullet" w:uiPriority="8" w:unhideWhenUsed="0" w:qFormat="1"/>
    <w:lsdException w:name="List Number" w:uiPriority="11" w:unhideWhenUsed="0" w:qFormat="1"/>
    <w:lsdException w:name="List Bullet 2" w:uiPriority="9" w:unhideWhenUsed="0" w:qFormat="1"/>
    <w:lsdException w:name="List Bullet 3" w:uiPriority="10" w:unhideWhenUsed="0" w:qFormat="1"/>
    <w:lsdException w:name="List Number 2" w:uiPriority="12" w:unhideWhenUsed="0" w:qFormat="1"/>
    <w:lsdException w:name="List Number 3" w:uiPriority="13" w:unhideWhenUsed="0" w:qFormat="1"/>
    <w:lsdException w:name="Title" w:semiHidden="0" w:uiPriority="10" w:unhideWhenUsed="0"/>
    <w:lsdException w:name="Default Paragraph Font" w:uiPriority="1"/>
    <w:lsdException w:name="Body Text" w:semiHidden="0" w:uiPriority="0" w:unhideWhenUsed="0" w:qFormat="1"/>
    <w:lsdException w:name="Subtitle" w:semiHidden="0" w:uiPriority="11" w:unhideWhenUsed="0"/>
    <w:lsdException w:name="Hyperlink" w:unhideWhenUsed="0" w:qFormat="1"/>
    <w:lsdException w:name="FollowedHyperlink" w:uiPriority="27" w:unhideWhenUsed="0" w:qFormat="1"/>
    <w:lsdException w:name="Strong" w:semiHidden="0" w:uiPriority="22" w:unhideWhenUsed="0"/>
    <w:lsdException w:name="Emphasis" w:semiHidden="0" w:uiPriority="20" w:unhideWhenUsed="0"/>
    <w:lsdException w:name="Table Grid" w:uiPriority="59"/>
    <w:lsdException w:name="No Spacing" w:uiPriority="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1"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lsdException w:name="Bibliography" w:uiPriority="37"/>
    <w:lsdException w:name="TOC Heading" w:uiPriority="39"/>
  </w:latentStyles>
  <w:style w:type="paragraph" w:default="1" w:styleId="Normal">
    <w:name w:val="Normal"/>
    <w:uiPriority w:val="1"/>
    <w:qFormat/>
    <w:rsid w:val="005A1F44"/>
    <w:pPr>
      <w:tabs>
        <w:tab w:val="left" w:pos="284"/>
      </w:tabs>
      <w:spacing w:line="240" w:lineRule="atLeast"/>
    </w:pPr>
    <w:rPr>
      <w:kern w:val="18"/>
    </w:rPr>
  </w:style>
  <w:style w:type="paragraph" w:styleId="Heading1">
    <w:name w:val="heading 1"/>
    <w:basedOn w:val="Normal"/>
    <w:next w:val="BodyText"/>
    <w:link w:val="Heading1Char"/>
    <w:uiPriority w:val="2"/>
    <w:qFormat/>
    <w:rsid w:val="005A1F44"/>
    <w:pPr>
      <w:keepNext/>
      <w:keepLines/>
      <w:numPr>
        <w:numId w:val="20"/>
      </w:numPr>
      <w:tabs>
        <w:tab w:val="clear" w:pos="284"/>
      </w:tabs>
      <w:spacing w:before="180" w:after="180" w:line="264" w:lineRule="auto"/>
      <w:outlineLvl w:val="0"/>
    </w:pPr>
    <w:rPr>
      <w:rFonts w:asciiTheme="majorHAnsi" w:eastAsiaTheme="majorEastAsia" w:hAnsiTheme="majorHAnsi" w:cstheme="majorBidi"/>
      <w:b/>
      <w:bCs/>
      <w:color w:val="00B5E2" w:themeColor="accent1"/>
      <w:sz w:val="30"/>
      <w:szCs w:val="28"/>
    </w:rPr>
  </w:style>
  <w:style w:type="paragraph" w:styleId="Heading2">
    <w:name w:val="heading 2"/>
    <w:basedOn w:val="Normal"/>
    <w:next w:val="BodyText"/>
    <w:link w:val="Heading2Char"/>
    <w:uiPriority w:val="3"/>
    <w:qFormat/>
    <w:rsid w:val="005A1F44"/>
    <w:pPr>
      <w:keepNext/>
      <w:keepLines/>
      <w:numPr>
        <w:ilvl w:val="1"/>
        <w:numId w:val="20"/>
      </w:numPr>
      <w:tabs>
        <w:tab w:val="clear" w:pos="284"/>
      </w:tabs>
      <w:spacing w:before="240" w:after="180" w:line="264" w:lineRule="auto"/>
      <w:outlineLvl w:val="1"/>
    </w:pPr>
    <w:rPr>
      <w:rFonts w:asciiTheme="majorHAnsi" w:eastAsiaTheme="majorEastAsia" w:hAnsiTheme="majorHAnsi" w:cstheme="majorBidi"/>
      <w:bCs/>
      <w:color w:val="00B5E2" w:themeColor="accent1"/>
      <w:sz w:val="26"/>
      <w:szCs w:val="26"/>
    </w:rPr>
  </w:style>
  <w:style w:type="paragraph" w:styleId="Heading3">
    <w:name w:val="heading 3"/>
    <w:basedOn w:val="Normal"/>
    <w:next w:val="BodyText"/>
    <w:link w:val="Heading3Char"/>
    <w:uiPriority w:val="4"/>
    <w:qFormat/>
    <w:rsid w:val="005A1F44"/>
    <w:pPr>
      <w:keepNext/>
      <w:keepLines/>
      <w:numPr>
        <w:ilvl w:val="2"/>
        <w:numId w:val="20"/>
      </w:numPr>
      <w:tabs>
        <w:tab w:val="clear" w:pos="284"/>
      </w:tabs>
      <w:spacing w:before="240" w:after="180" w:line="264" w:lineRule="auto"/>
      <w:outlineLvl w:val="2"/>
    </w:pPr>
    <w:rPr>
      <w:rFonts w:asciiTheme="majorHAnsi" w:eastAsiaTheme="majorEastAsia" w:hAnsiTheme="majorHAnsi" w:cstheme="majorBidi"/>
      <w:bCs/>
      <w:color w:val="00B5E2" w:themeColor="accent1"/>
      <w:sz w:val="22"/>
    </w:rPr>
  </w:style>
  <w:style w:type="paragraph" w:styleId="Heading4">
    <w:name w:val="heading 4"/>
    <w:basedOn w:val="Normal"/>
    <w:next w:val="BodyText"/>
    <w:link w:val="Heading4Char"/>
    <w:uiPriority w:val="5"/>
    <w:qFormat/>
    <w:rsid w:val="005A1F44"/>
    <w:pPr>
      <w:keepNext/>
      <w:keepLines/>
      <w:numPr>
        <w:ilvl w:val="3"/>
        <w:numId w:val="20"/>
      </w:numPr>
      <w:tabs>
        <w:tab w:val="clear" w:pos="284"/>
      </w:tabs>
      <w:spacing w:before="240" w:after="180" w:line="264" w:lineRule="auto"/>
      <w:outlineLvl w:val="3"/>
    </w:pPr>
    <w:rPr>
      <w:rFonts w:asciiTheme="majorHAnsi" w:eastAsiaTheme="majorEastAsia" w:hAnsiTheme="majorHAnsi" w:cstheme="majorBidi"/>
      <w:bCs/>
      <w:iCs/>
    </w:rPr>
  </w:style>
  <w:style w:type="paragraph" w:styleId="Heading5">
    <w:name w:val="heading 5"/>
    <w:basedOn w:val="Normal"/>
    <w:next w:val="BodyText"/>
    <w:link w:val="Heading5Char"/>
    <w:uiPriority w:val="9"/>
    <w:semiHidden/>
    <w:unhideWhenUsed/>
    <w:rsid w:val="002770A0"/>
    <w:pPr>
      <w:keepNext/>
      <w:keepLines/>
      <w:numPr>
        <w:ilvl w:val="4"/>
        <w:numId w:val="9"/>
      </w:numPr>
      <w:spacing w:before="120"/>
      <w:outlineLvl w:val="4"/>
    </w:pPr>
    <w:rPr>
      <w:rFonts w:asciiTheme="majorHAnsi" w:eastAsiaTheme="majorEastAsia" w:hAnsiTheme="majorHAnsi" w:cstheme="majorBidi"/>
      <w:b/>
      <w:color w:val="00B5E2" w:themeColor="accent1"/>
    </w:rPr>
  </w:style>
  <w:style w:type="paragraph" w:styleId="Heading6">
    <w:name w:val="heading 6"/>
    <w:basedOn w:val="Normal"/>
    <w:next w:val="Normal"/>
    <w:link w:val="Heading6Char"/>
    <w:uiPriority w:val="9"/>
    <w:unhideWhenUsed/>
    <w:qFormat/>
    <w:rsid w:val="00582989"/>
    <w:pPr>
      <w:keepNext/>
      <w:keepLines/>
      <w:numPr>
        <w:ilvl w:val="5"/>
        <w:numId w:val="20"/>
      </w:numPr>
      <w:spacing w:before="200"/>
      <w:outlineLvl w:val="5"/>
    </w:pPr>
    <w:rPr>
      <w:rFonts w:asciiTheme="majorHAnsi" w:eastAsiaTheme="majorEastAsia" w:hAnsiTheme="majorHAnsi" w:cstheme="majorBidi"/>
      <w:i/>
      <w:iCs/>
      <w:color w:val="005970" w:themeColor="accent1" w:themeShade="7F"/>
    </w:rPr>
  </w:style>
  <w:style w:type="paragraph" w:styleId="Heading7">
    <w:name w:val="heading 7"/>
    <w:basedOn w:val="Normal"/>
    <w:next w:val="Normal"/>
    <w:link w:val="Heading7Char"/>
    <w:uiPriority w:val="9"/>
    <w:unhideWhenUsed/>
    <w:qFormat/>
    <w:rsid w:val="00582989"/>
    <w:pPr>
      <w:keepNext/>
      <w:keepLines/>
      <w:numPr>
        <w:ilvl w:val="6"/>
        <w:numId w:val="20"/>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582989"/>
    <w:pPr>
      <w:keepNext/>
      <w:keepLines/>
      <w:numPr>
        <w:ilvl w:val="7"/>
        <w:numId w:val="20"/>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582989"/>
    <w:pPr>
      <w:keepNext/>
      <w:keepLines/>
      <w:numPr>
        <w:ilvl w:val="8"/>
        <w:numId w:val="20"/>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5A1F44"/>
    <w:rPr>
      <w:rFonts w:asciiTheme="majorHAnsi" w:eastAsiaTheme="majorEastAsia" w:hAnsiTheme="majorHAnsi" w:cstheme="majorBidi"/>
      <w:b/>
      <w:bCs/>
      <w:color w:val="00B5E2" w:themeColor="accent1"/>
      <w:kern w:val="18"/>
      <w:sz w:val="30"/>
      <w:szCs w:val="28"/>
    </w:rPr>
  </w:style>
  <w:style w:type="character" w:customStyle="1" w:styleId="Heading2Char">
    <w:name w:val="Heading 2 Char"/>
    <w:basedOn w:val="DefaultParagraphFont"/>
    <w:link w:val="Heading2"/>
    <w:uiPriority w:val="3"/>
    <w:rsid w:val="005A1F44"/>
    <w:rPr>
      <w:rFonts w:asciiTheme="majorHAnsi" w:eastAsiaTheme="majorEastAsia" w:hAnsiTheme="majorHAnsi" w:cstheme="majorBidi"/>
      <w:bCs/>
      <w:color w:val="00B5E2" w:themeColor="accent1"/>
      <w:kern w:val="18"/>
      <w:sz w:val="26"/>
      <w:szCs w:val="26"/>
    </w:rPr>
  </w:style>
  <w:style w:type="character" w:customStyle="1" w:styleId="Heading3Char">
    <w:name w:val="Heading 3 Char"/>
    <w:basedOn w:val="DefaultParagraphFont"/>
    <w:link w:val="Heading3"/>
    <w:uiPriority w:val="4"/>
    <w:rsid w:val="005A1F44"/>
    <w:rPr>
      <w:rFonts w:asciiTheme="majorHAnsi" w:eastAsiaTheme="majorEastAsia" w:hAnsiTheme="majorHAnsi" w:cstheme="majorBidi"/>
      <w:bCs/>
      <w:color w:val="00B5E2" w:themeColor="accent1"/>
      <w:kern w:val="18"/>
      <w:sz w:val="22"/>
    </w:rPr>
  </w:style>
  <w:style w:type="paragraph" w:styleId="ListNumber">
    <w:name w:val="List Number"/>
    <w:basedOn w:val="Normal"/>
    <w:uiPriority w:val="11"/>
    <w:qFormat/>
    <w:rsid w:val="00790710"/>
    <w:pPr>
      <w:numPr>
        <w:numId w:val="15"/>
      </w:numPr>
      <w:tabs>
        <w:tab w:val="clear" w:pos="284"/>
      </w:tabs>
      <w:spacing w:after="120"/>
    </w:pPr>
  </w:style>
  <w:style w:type="paragraph" w:styleId="ListNumber2">
    <w:name w:val="List Number 2"/>
    <w:basedOn w:val="Normal"/>
    <w:uiPriority w:val="12"/>
    <w:qFormat/>
    <w:rsid w:val="00790710"/>
    <w:pPr>
      <w:numPr>
        <w:ilvl w:val="1"/>
        <w:numId w:val="15"/>
      </w:numPr>
      <w:tabs>
        <w:tab w:val="clear" w:pos="284"/>
      </w:tabs>
      <w:spacing w:after="120"/>
    </w:pPr>
  </w:style>
  <w:style w:type="paragraph" w:styleId="ListNumber3">
    <w:name w:val="List Number 3"/>
    <w:basedOn w:val="Normal"/>
    <w:uiPriority w:val="13"/>
    <w:qFormat/>
    <w:rsid w:val="00790710"/>
    <w:pPr>
      <w:numPr>
        <w:ilvl w:val="2"/>
        <w:numId w:val="15"/>
      </w:numPr>
      <w:tabs>
        <w:tab w:val="clear" w:pos="284"/>
      </w:tabs>
      <w:spacing w:after="120"/>
    </w:pPr>
  </w:style>
  <w:style w:type="paragraph" w:styleId="ListBullet">
    <w:name w:val="List Bullet"/>
    <w:basedOn w:val="Normal"/>
    <w:uiPriority w:val="8"/>
    <w:qFormat/>
    <w:rsid w:val="00790710"/>
    <w:pPr>
      <w:numPr>
        <w:numId w:val="14"/>
      </w:numPr>
      <w:tabs>
        <w:tab w:val="clear" w:pos="284"/>
      </w:tabs>
      <w:spacing w:after="120"/>
    </w:pPr>
  </w:style>
  <w:style w:type="paragraph" w:styleId="ListBullet2">
    <w:name w:val="List Bullet 2"/>
    <w:basedOn w:val="Normal"/>
    <w:uiPriority w:val="9"/>
    <w:qFormat/>
    <w:rsid w:val="00790710"/>
    <w:pPr>
      <w:numPr>
        <w:ilvl w:val="1"/>
        <w:numId w:val="14"/>
      </w:numPr>
      <w:tabs>
        <w:tab w:val="clear" w:pos="284"/>
      </w:tabs>
      <w:spacing w:after="120"/>
    </w:pPr>
  </w:style>
  <w:style w:type="paragraph" w:styleId="ListBullet3">
    <w:name w:val="List Bullet 3"/>
    <w:basedOn w:val="Normal"/>
    <w:uiPriority w:val="10"/>
    <w:qFormat/>
    <w:rsid w:val="00790710"/>
    <w:pPr>
      <w:numPr>
        <w:ilvl w:val="2"/>
        <w:numId w:val="14"/>
      </w:numPr>
      <w:tabs>
        <w:tab w:val="clear" w:pos="284"/>
      </w:tabs>
      <w:spacing w:after="120"/>
    </w:pPr>
  </w:style>
  <w:style w:type="character" w:customStyle="1" w:styleId="Heading4Char">
    <w:name w:val="Heading 4 Char"/>
    <w:basedOn w:val="DefaultParagraphFont"/>
    <w:link w:val="Heading4"/>
    <w:rsid w:val="005A1F44"/>
    <w:rPr>
      <w:rFonts w:asciiTheme="majorHAnsi" w:eastAsiaTheme="majorEastAsia" w:hAnsiTheme="majorHAnsi" w:cstheme="majorBidi"/>
      <w:bCs/>
      <w:iCs/>
      <w:kern w:val="18"/>
    </w:rPr>
  </w:style>
  <w:style w:type="numbering" w:customStyle="1" w:styleId="AECOMBullets">
    <w:name w:val="AECOM_Bullets"/>
    <w:basedOn w:val="NoList"/>
    <w:uiPriority w:val="99"/>
    <w:semiHidden/>
    <w:unhideWhenUsed/>
    <w:rsid w:val="00C86409"/>
    <w:pPr>
      <w:numPr>
        <w:numId w:val="1"/>
      </w:numPr>
    </w:pPr>
  </w:style>
  <w:style w:type="character" w:customStyle="1" w:styleId="Heading5Char">
    <w:name w:val="Heading 5 Char"/>
    <w:basedOn w:val="DefaultParagraphFont"/>
    <w:link w:val="Heading5"/>
    <w:uiPriority w:val="9"/>
    <w:semiHidden/>
    <w:rsid w:val="00F66A91"/>
    <w:rPr>
      <w:rFonts w:asciiTheme="majorHAnsi" w:eastAsiaTheme="majorEastAsia" w:hAnsiTheme="majorHAnsi" w:cstheme="majorBidi"/>
      <w:b/>
      <w:color w:val="00B5E2" w:themeColor="accent1"/>
      <w:kern w:val="18"/>
    </w:rPr>
  </w:style>
  <w:style w:type="paragraph" w:styleId="BodyText">
    <w:name w:val="Body Text"/>
    <w:basedOn w:val="Normal"/>
    <w:link w:val="BodyTextChar"/>
    <w:qFormat/>
    <w:rsid w:val="00676FE6"/>
    <w:pPr>
      <w:spacing w:after="180"/>
    </w:pPr>
  </w:style>
  <w:style w:type="numbering" w:customStyle="1" w:styleId="AECOMList">
    <w:name w:val="AECOM_List"/>
    <w:basedOn w:val="NoList"/>
    <w:uiPriority w:val="99"/>
    <w:semiHidden/>
    <w:unhideWhenUsed/>
    <w:rsid w:val="00323654"/>
    <w:pPr>
      <w:numPr>
        <w:numId w:val="2"/>
      </w:numPr>
    </w:pPr>
  </w:style>
  <w:style w:type="character" w:customStyle="1" w:styleId="BodyTextChar">
    <w:name w:val="Body Text Char"/>
    <w:basedOn w:val="DefaultParagraphFont"/>
    <w:link w:val="BodyText"/>
    <w:rsid w:val="00F66A91"/>
    <w:rPr>
      <w:kern w:val="18"/>
    </w:rPr>
  </w:style>
  <w:style w:type="paragraph" w:customStyle="1" w:styleId="CoverTitle">
    <w:name w:val="Cover Title"/>
    <w:basedOn w:val="Normal"/>
    <w:next w:val="BodyText"/>
    <w:semiHidden/>
    <w:unhideWhenUsed/>
    <w:rsid w:val="00DD3356"/>
    <w:pPr>
      <w:spacing w:before="360" w:after="360" w:line="900" w:lineRule="atLeast"/>
    </w:pPr>
    <w:rPr>
      <w:rFonts w:asciiTheme="majorHAnsi" w:hAnsiTheme="majorHAnsi"/>
      <w:b/>
      <w:color w:val="00B5E2" w:themeColor="accent1"/>
      <w:sz w:val="80"/>
    </w:rPr>
  </w:style>
  <w:style w:type="paragraph" w:customStyle="1" w:styleId="SectionTitle">
    <w:name w:val="Section Title"/>
    <w:basedOn w:val="BodyText"/>
    <w:next w:val="BodyText"/>
    <w:semiHidden/>
    <w:unhideWhenUsed/>
    <w:rsid w:val="00D129FA"/>
    <w:pPr>
      <w:spacing w:before="360" w:after="360" w:line="660" w:lineRule="atLeast"/>
      <w:jc w:val="right"/>
    </w:pPr>
    <w:rPr>
      <w:rFonts w:asciiTheme="majorHAnsi" w:hAnsiTheme="majorHAnsi"/>
      <w:color w:val="FFFFFF" w:themeColor="background1"/>
      <w:sz w:val="60"/>
    </w:rPr>
  </w:style>
  <w:style w:type="paragraph" w:customStyle="1" w:styleId="DividerSectionNumber">
    <w:name w:val="Divider Section Number"/>
    <w:basedOn w:val="BodyText"/>
    <w:next w:val="BodyText"/>
    <w:semiHidden/>
    <w:unhideWhenUsed/>
    <w:rsid w:val="00B55307"/>
    <w:pPr>
      <w:tabs>
        <w:tab w:val="clear" w:pos="284"/>
      </w:tabs>
      <w:spacing w:before="360" w:after="360" w:line="2400" w:lineRule="atLeast"/>
      <w:jc w:val="right"/>
    </w:pPr>
    <w:rPr>
      <w:rFonts w:asciiTheme="majorHAnsi" w:hAnsiTheme="majorHAnsi"/>
      <w:color w:val="FFFFFF" w:themeColor="background1"/>
      <w:sz w:val="200"/>
    </w:rPr>
  </w:style>
  <w:style w:type="paragraph" w:customStyle="1" w:styleId="DividerSectionNumberSmall">
    <w:name w:val="Divider Section Number (Small)"/>
    <w:basedOn w:val="Normal"/>
    <w:next w:val="BodyText"/>
    <w:semiHidden/>
    <w:unhideWhenUsed/>
    <w:rsid w:val="00DD3356"/>
    <w:pPr>
      <w:spacing w:before="360" w:after="360" w:line="1440" w:lineRule="atLeast"/>
      <w:jc w:val="right"/>
    </w:pPr>
    <w:rPr>
      <w:rFonts w:asciiTheme="majorHAnsi" w:hAnsiTheme="majorHAnsi"/>
      <w:b/>
      <w:color w:val="00B5E2" w:themeColor="accent1"/>
      <w:sz w:val="120"/>
    </w:rPr>
  </w:style>
  <w:style w:type="table" w:styleId="TableGrid">
    <w:name w:val="Table Grid"/>
    <w:basedOn w:val="TableNormal"/>
    <w:uiPriority w:val="59"/>
    <w:unhideWhenUsed/>
    <w:rsid w:val="00364FD7"/>
    <w:rPr>
      <w:sz w:val="1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Pr>
    <w:tblStylePr w:type="firstRow">
      <w:rPr>
        <w:rFonts w:asciiTheme="majorHAnsi" w:hAnsiTheme="majorHAnsi"/>
        <w:b w:val="0"/>
      </w:rPr>
    </w:tblStylePr>
  </w:style>
  <w:style w:type="table" w:customStyle="1" w:styleId="AECOMtable">
    <w:name w:val="AECOM table"/>
    <w:basedOn w:val="TableNormal"/>
    <w:uiPriority w:val="99"/>
    <w:semiHidden/>
    <w:unhideWhenUsed/>
    <w:rsid w:val="003A3279"/>
    <w:rPr>
      <w:sz w:val="16"/>
    </w:rPr>
    <w:tblPr>
      <w:tblBorders>
        <w:insideH w:val="single" w:sz="4" w:space="0" w:color="auto"/>
      </w:tblBorders>
      <w:tblCellMar>
        <w:top w:w="28" w:type="dxa"/>
        <w:left w:w="0" w:type="dxa"/>
        <w:bottom w:w="28" w:type="dxa"/>
        <w:right w:w="113" w:type="dxa"/>
      </w:tblCellMar>
    </w:tblPr>
    <w:tblStylePr w:type="firstRow">
      <w:rPr>
        <w:rFonts w:asciiTheme="majorHAnsi" w:hAnsiTheme="majorHAnsi"/>
        <w:b/>
        <w:color w:val="00B5E2" w:themeColor="accent1"/>
        <w:sz w:val="16"/>
      </w:rPr>
      <w:tblPr/>
      <w:tcPr>
        <w:tcBorders>
          <w:top w:val="nil"/>
          <w:left w:val="nil"/>
          <w:bottom w:val="single" w:sz="12" w:space="0" w:color="00B5E2" w:themeColor="accent1"/>
          <w:right w:val="nil"/>
          <w:insideH w:val="nil"/>
          <w:insideV w:val="nil"/>
          <w:tl2br w:val="nil"/>
          <w:tr2bl w:val="nil"/>
        </w:tcBorders>
      </w:tcPr>
    </w:tblStylePr>
  </w:style>
  <w:style w:type="paragraph" w:styleId="Caption">
    <w:name w:val="caption"/>
    <w:basedOn w:val="Normal"/>
    <w:next w:val="BodyText"/>
    <w:uiPriority w:val="24"/>
    <w:qFormat/>
    <w:rsid w:val="008D11A6"/>
    <w:pPr>
      <w:keepNext/>
      <w:spacing w:after="120"/>
    </w:pPr>
    <w:rPr>
      <w:rFonts w:asciiTheme="majorHAnsi" w:hAnsiTheme="majorHAnsi"/>
      <w:b/>
      <w:bCs/>
      <w:color w:val="00B5E2" w:themeColor="accent1"/>
      <w:sz w:val="20"/>
    </w:rPr>
  </w:style>
  <w:style w:type="paragraph" w:customStyle="1" w:styleId="Source">
    <w:name w:val="Source"/>
    <w:basedOn w:val="Normal"/>
    <w:uiPriority w:val="25"/>
    <w:qFormat/>
    <w:rsid w:val="00F4332F"/>
    <w:pPr>
      <w:spacing w:after="120"/>
    </w:pPr>
    <w:rPr>
      <w:i/>
      <w:sz w:val="16"/>
    </w:rPr>
  </w:style>
  <w:style w:type="paragraph" w:styleId="FootnoteText">
    <w:name w:val="footnote text"/>
    <w:basedOn w:val="Normal"/>
    <w:link w:val="FootnoteTextChar"/>
    <w:uiPriority w:val="99"/>
    <w:unhideWhenUsed/>
    <w:rsid w:val="00253171"/>
    <w:pPr>
      <w:spacing w:line="240" w:lineRule="auto"/>
    </w:pPr>
    <w:rPr>
      <w:sz w:val="16"/>
      <w:szCs w:val="20"/>
    </w:rPr>
  </w:style>
  <w:style w:type="character" w:customStyle="1" w:styleId="FootnoteTextChar">
    <w:name w:val="Footnote Text Char"/>
    <w:basedOn w:val="DefaultParagraphFont"/>
    <w:link w:val="FootnoteText"/>
    <w:uiPriority w:val="99"/>
    <w:rsid w:val="00F66A91"/>
    <w:rPr>
      <w:kern w:val="18"/>
      <w:sz w:val="16"/>
      <w:szCs w:val="20"/>
    </w:rPr>
  </w:style>
  <w:style w:type="character" w:styleId="FootnoteReference">
    <w:name w:val="footnote reference"/>
    <w:basedOn w:val="DefaultParagraphFont"/>
    <w:uiPriority w:val="99"/>
    <w:unhideWhenUsed/>
    <w:rsid w:val="00F27E4A"/>
    <w:rPr>
      <w:rFonts w:asciiTheme="majorHAnsi" w:hAnsiTheme="majorHAnsi"/>
      <w:color w:val="auto"/>
      <w:vertAlign w:val="superscript"/>
    </w:rPr>
  </w:style>
  <w:style w:type="paragraph" w:customStyle="1" w:styleId="Appendix">
    <w:name w:val="Appendix"/>
    <w:basedOn w:val="Heading1"/>
    <w:next w:val="BodyText"/>
    <w:uiPriority w:val="6"/>
    <w:qFormat/>
    <w:rsid w:val="005A1F44"/>
    <w:pPr>
      <w:pageBreakBefore/>
      <w:numPr>
        <w:numId w:val="21"/>
      </w:numPr>
    </w:pPr>
  </w:style>
  <w:style w:type="character" w:styleId="Hyperlink">
    <w:name w:val="Hyperlink"/>
    <w:basedOn w:val="DefaultParagraphFont"/>
    <w:uiPriority w:val="99"/>
    <w:qFormat/>
    <w:rsid w:val="00F15F1A"/>
    <w:rPr>
      <w:color w:val="00B5E2" w:themeColor="accent1"/>
      <w:u w:val="single"/>
    </w:rPr>
  </w:style>
  <w:style w:type="character" w:styleId="FollowedHyperlink">
    <w:name w:val="FollowedHyperlink"/>
    <w:basedOn w:val="DefaultParagraphFont"/>
    <w:uiPriority w:val="27"/>
    <w:qFormat/>
    <w:rsid w:val="00F15F1A"/>
    <w:rPr>
      <w:color w:val="84BD00" w:themeColor="accent2"/>
      <w:u w:val="single"/>
    </w:rPr>
  </w:style>
  <w:style w:type="table" w:styleId="ColorfulGrid">
    <w:name w:val="Colorful Grid"/>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C6F3FF" w:themeFill="accent1" w:themeFillTint="33"/>
    </w:tcPr>
    <w:tblStylePr w:type="firstRow">
      <w:rPr>
        <w:b/>
        <w:bCs/>
      </w:rPr>
      <w:tblPr/>
      <w:tcPr>
        <w:shd w:val="clear" w:color="auto" w:fill="8DE8FF" w:themeFill="accent1" w:themeFillTint="66"/>
      </w:tcPr>
    </w:tblStylePr>
    <w:tblStylePr w:type="lastRow">
      <w:rPr>
        <w:b/>
        <w:bCs/>
        <w:color w:val="000000" w:themeColor="text1"/>
      </w:rPr>
      <w:tblPr/>
      <w:tcPr>
        <w:shd w:val="clear" w:color="auto" w:fill="8DE8FF" w:themeFill="accent1" w:themeFillTint="66"/>
      </w:tcPr>
    </w:tblStylePr>
    <w:tblStylePr w:type="firstCol">
      <w:rPr>
        <w:color w:val="FFFFFF" w:themeColor="background1"/>
      </w:rPr>
      <w:tblPr/>
      <w:tcPr>
        <w:shd w:val="clear" w:color="auto" w:fill="0087A9" w:themeFill="accent1" w:themeFillShade="BF"/>
      </w:tcPr>
    </w:tblStylePr>
    <w:tblStylePr w:type="lastCol">
      <w:rPr>
        <w:color w:val="FFFFFF" w:themeColor="background1"/>
      </w:rPr>
      <w:tblPr/>
      <w:tcPr>
        <w:shd w:val="clear" w:color="auto" w:fill="0087A9" w:themeFill="accent1" w:themeFillShade="BF"/>
      </w:tcPr>
    </w:tblStylePr>
    <w:tblStylePr w:type="band1Vert">
      <w:tblPr/>
      <w:tcPr>
        <w:shd w:val="clear" w:color="auto" w:fill="71E2FF" w:themeFill="accent1" w:themeFillTint="7F"/>
      </w:tcPr>
    </w:tblStylePr>
    <w:tblStylePr w:type="band1Horz">
      <w:tblPr/>
      <w:tcPr>
        <w:shd w:val="clear" w:color="auto" w:fill="71E2FF" w:themeFill="accent1" w:themeFillTint="7F"/>
      </w:tcPr>
    </w:tblStylePr>
  </w:style>
  <w:style w:type="table" w:styleId="ColorfulGrid-Accent2">
    <w:name w:val="Colorful Grid Accent 2"/>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EBFFBE" w:themeFill="accent2" w:themeFillTint="33"/>
    </w:tcPr>
    <w:tblStylePr w:type="firstRow">
      <w:rPr>
        <w:b/>
        <w:bCs/>
      </w:rPr>
      <w:tblPr/>
      <w:tcPr>
        <w:shd w:val="clear" w:color="auto" w:fill="D8FF7E" w:themeFill="accent2" w:themeFillTint="66"/>
      </w:tcPr>
    </w:tblStylePr>
    <w:tblStylePr w:type="lastRow">
      <w:rPr>
        <w:b/>
        <w:bCs/>
        <w:color w:val="000000" w:themeColor="text1"/>
      </w:rPr>
      <w:tblPr/>
      <w:tcPr>
        <w:shd w:val="clear" w:color="auto" w:fill="D8FF7E" w:themeFill="accent2" w:themeFillTint="66"/>
      </w:tcPr>
    </w:tblStylePr>
    <w:tblStylePr w:type="firstCol">
      <w:rPr>
        <w:color w:val="FFFFFF" w:themeColor="background1"/>
      </w:rPr>
      <w:tblPr/>
      <w:tcPr>
        <w:shd w:val="clear" w:color="auto" w:fill="628D00" w:themeFill="accent2" w:themeFillShade="BF"/>
      </w:tcPr>
    </w:tblStylePr>
    <w:tblStylePr w:type="lastCol">
      <w:rPr>
        <w:color w:val="FFFFFF" w:themeColor="background1"/>
      </w:rPr>
      <w:tblPr/>
      <w:tcPr>
        <w:shd w:val="clear" w:color="auto" w:fill="628D00" w:themeFill="accent2" w:themeFillShade="BF"/>
      </w:tcPr>
    </w:tblStylePr>
    <w:tblStylePr w:type="band1Vert">
      <w:tblPr/>
      <w:tcPr>
        <w:shd w:val="clear" w:color="auto" w:fill="CEFF5F" w:themeFill="accent2" w:themeFillTint="7F"/>
      </w:tcPr>
    </w:tblStylePr>
    <w:tblStylePr w:type="band1Horz">
      <w:tblPr/>
      <w:tcPr>
        <w:shd w:val="clear" w:color="auto" w:fill="CEFF5F" w:themeFill="accent2" w:themeFillTint="7F"/>
      </w:tcPr>
    </w:tblStylePr>
  </w:style>
  <w:style w:type="table" w:styleId="ColorfulGrid-Accent3">
    <w:name w:val="Colorful Grid Accent 3"/>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FDE7D2" w:themeFill="accent3" w:themeFillTint="33"/>
    </w:tcPr>
    <w:tblStylePr w:type="firstRow">
      <w:rPr>
        <w:b/>
        <w:bCs/>
      </w:rPr>
      <w:tblPr/>
      <w:tcPr>
        <w:shd w:val="clear" w:color="auto" w:fill="FBD0A5" w:themeFill="accent3" w:themeFillTint="66"/>
      </w:tcPr>
    </w:tblStylePr>
    <w:tblStylePr w:type="lastRow">
      <w:rPr>
        <w:b/>
        <w:bCs/>
        <w:color w:val="000000" w:themeColor="text1"/>
      </w:rPr>
      <w:tblPr/>
      <w:tcPr>
        <w:shd w:val="clear" w:color="auto" w:fill="FBD0A5" w:themeFill="accent3" w:themeFillTint="66"/>
      </w:tcPr>
    </w:tblStylePr>
    <w:tblStylePr w:type="firstCol">
      <w:rPr>
        <w:color w:val="FFFFFF" w:themeColor="background1"/>
      </w:rPr>
      <w:tblPr/>
      <w:tcPr>
        <w:shd w:val="clear" w:color="auto" w:fill="C76808" w:themeFill="accent3" w:themeFillShade="BF"/>
      </w:tcPr>
    </w:tblStylePr>
    <w:tblStylePr w:type="lastCol">
      <w:rPr>
        <w:color w:val="FFFFFF" w:themeColor="background1"/>
      </w:rPr>
      <w:tblPr/>
      <w:tcPr>
        <w:shd w:val="clear" w:color="auto" w:fill="C76808" w:themeFill="accent3" w:themeFillShade="BF"/>
      </w:tcPr>
    </w:tblStylePr>
    <w:tblStylePr w:type="band1Vert">
      <w:tblPr/>
      <w:tcPr>
        <w:shd w:val="clear" w:color="auto" w:fill="FAC58F" w:themeFill="accent3" w:themeFillTint="7F"/>
      </w:tcPr>
    </w:tblStylePr>
    <w:tblStylePr w:type="band1Horz">
      <w:tblPr/>
      <w:tcPr>
        <w:shd w:val="clear" w:color="auto" w:fill="FAC58F" w:themeFill="accent3" w:themeFillTint="7F"/>
      </w:tcPr>
    </w:tblStylePr>
  </w:style>
  <w:style w:type="table" w:styleId="ColorfulGrid-Accent4">
    <w:name w:val="Colorful Grid Accent 4"/>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FFB8F0" w:themeFill="accent4" w:themeFillTint="33"/>
    </w:tcPr>
    <w:tblStylePr w:type="firstRow">
      <w:rPr>
        <w:b/>
        <w:bCs/>
      </w:rPr>
      <w:tblPr/>
      <w:tcPr>
        <w:shd w:val="clear" w:color="auto" w:fill="FF72E2" w:themeFill="accent4" w:themeFillTint="66"/>
      </w:tcPr>
    </w:tblStylePr>
    <w:tblStylePr w:type="lastRow">
      <w:rPr>
        <w:b/>
        <w:bCs/>
        <w:color w:val="000000" w:themeColor="text1"/>
      </w:rPr>
      <w:tblPr/>
      <w:tcPr>
        <w:shd w:val="clear" w:color="auto" w:fill="FF72E2" w:themeFill="accent4" w:themeFillTint="66"/>
      </w:tcPr>
    </w:tblStylePr>
    <w:tblStylePr w:type="firstCol">
      <w:rPr>
        <w:color w:val="FFFFFF" w:themeColor="background1"/>
      </w:rPr>
      <w:tblPr/>
      <w:tcPr>
        <w:shd w:val="clear" w:color="auto" w:fill="76005E" w:themeFill="accent4" w:themeFillShade="BF"/>
      </w:tcPr>
    </w:tblStylePr>
    <w:tblStylePr w:type="lastCol">
      <w:rPr>
        <w:color w:val="FFFFFF" w:themeColor="background1"/>
      </w:rPr>
      <w:tblPr/>
      <w:tcPr>
        <w:shd w:val="clear" w:color="auto" w:fill="76005E" w:themeFill="accent4" w:themeFillShade="BF"/>
      </w:tcPr>
    </w:tblStylePr>
    <w:tblStylePr w:type="band1Vert">
      <w:tblPr/>
      <w:tcPr>
        <w:shd w:val="clear" w:color="auto" w:fill="FF4FDB" w:themeFill="accent4" w:themeFillTint="7F"/>
      </w:tcPr>
    </w:tblStylePr>
    <w:tblStylePr w:type="band1Horz">
      <w:tblPr/>
      <w:tcPr>
        <w:shd w:val="clear" w:color="auto" w:fill="FF4FDB" w:themeFill="accent4" w:themeFillTint="7F"/>
      </w:tcPr>
    </w:tblStylePr>
  </w:style>
  <w:style w:type="table" w:styleId="ColorfulGrid-Accent5">
    <w:name w:val="Colorful Grid Accent 5"/>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FFF9CF" w:themeFill="accent5" w:themeFillTint="33"/>
    </w:tcPr>
    <w:tblStylePr w:type="firstRow">
      <w:rPr>
        <w:b/>
        <w:bCs/>
      </w:rPr>
      <w:tblPr/>
      <w:tcPr>
        <w:shd w:val="clear" w:color="auto" w:fill="FFF4A0" w:themeFill="accent5" w:themeFillTint="66"/>
      </w:tcPr>
    </w:tblStylePr>
    <w:tblStylePr w:type="lastRow">
      <w:rPr>
        <w:b/>
        <w:bCs/>
        <w:color w:val="000000" w:themeColor="text1"/>
      </w:rPr>
      <w:tblPr/>
      <w:tcPr>
        <w:shd w:val="clear" w:color="auto" w:fill="FFF4A0" w:themeFill="accent5" w:themeFillTint="66"/>
      </w:tcPr>
    </w:tblStylePr>
    <w:tblStylePr w:type="firstCol">
      <w:rPr>
        <w:color w:val="FFFFFF" w:themeColor="background1"/>
      </w:rPr>
      <w:tblPr/>
      <w:tcPr>
        <w:shd w:val="clear" w:color="auto" w:fill="CCB500" w:themeFill="accent5" w:themeFillShade="BF"/>
      </w:tcPr>
    </w:tblStylePr>
    <w:tblStylePr w:type="lastCol">
      <w:rPr>
        <w:color w:val="FFFFFF" w:themeColor="background1"/>
      </w:rPr>
      <w:tblPr/>
      <w:tcPr>
        <w:shd w:val="clear" w:color="auto" w:fill="CCB500" w:themeFill="accent5" w:themeFillShade="BF"/>
      </w:tcPr>
    </w:tblStylePr>
    <w:tblStylePr w:type="band1Vert">
      <w:tblPr/>
      <w:tcPr>
        <w:shd w:val="clear" w:color="auto" w:fill="FFF288" w:themeFill="accent5" w:themeFillTint="7F"/>
      </w:tcPr>
    </w:tblStylePr>
    <w:tblStylePr w:type="band1Horz">
      <w:tblPr/>
      <w:tcPr>
        <w:shd w:val="clear" w:color="auto" w:fill="FFF288" w:themeFill="accent5" w:themeFillTint="7F"/>
      </w:tcPr>
    </w:tblStylePr>
  </w:style>
  <w:style w:type="table" w:styleId="ColorfulGrid-Accent6">
    <w:name w:val="Colorful Grid Accent 6"/>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E8E5E4" w:themeFill="accent6" w:themeFillTint="33"/>
    </w:tcPr>
    <w:tblStylePr w:type="firstRow">
      <w:rPr>
        <w:b/>
        <w:bCs/>
      </w:rPr>
      <w:tblPr/>
      <w:tcPr>
        <w:shd w:val="clear" w:color="auto" w:fill="D1CCC9" w:themeFill="accent6" w:themeFillTint="66"/>
      </w:tcPr>
    </w:tblStylePr>
    <w:tblStylePr w:type="lastRow">
      <w:rPr>
        <w:b/>
        <w:bCs/>
        <w:color w:val="000000" w:themeColor="text1"/>
      </w:rPr>
      <w:tblPr/>
      <w:tcPr>
        <w:shd w:val="clear" w:color="auto" w:fill="D1CCC9" w:themeFill="accent6" w:themeFillTint="66"/>
      </w:tcPr>
    </w:tblStylePr>
    <w:tblStylePr w:type="firstCol">
      <w:rPr>
        <w:color w:val="FFFFFF" w:themeColor="background1"/>
      </w:rPr>
      <w:tblPr/>
      <w:tcPr>
        <w:shd w:val="clear" w:color="auto" w:fill="69615A" w:themeFill="accent6" w:themeFillShade="BF"/>
      </w:tcPr>
    </w:tblStylePr>
    <w:tblStylePr w:type="lastCol">
      <w:rPr>
        <w:color w:val="FFFFFF" w:themeColor="background1"/>
      </w:rPr>
      <w:tblPr/>
      <w:tcPr>
        <w:shd w:val="clear" w:color="auto" w:fill="69615A" w:themeFill="accent6" w:themeFillShade="BF"/>
      </w:tcPr>
    </w:tblStylePr>
    <w:tblStylePr w:type="band1Vert">
      <w:tblPr/>
      <w:tcPr>
        <w:shd w:val="clear" w:color="auto" w:fill="C5C0BC" w:themeFill="accent6" w:themeFillTint="7F"/>
      </w:tcPr>
    </w:tblStylePr>
    <w:tblStylePr w:type="band1Horz">
      <w:tblPr/>
      <w:tcPr>
        <w:shd w:val="clear" w:color="auto" w:fill="C5C0BC" w:themeFill="accent6" w:themeFillTint="7F"/>
      </w:tcPr>
    </w:tblStylePr>
  </w:style>
  <w:style w:type="table" w:styleId="ColorfulList">
    <w:name w:val="Colorful List"/>
    <w:basedOn w:val="TableNormal"/>
    <w:uiPriority w:val="72"/>
    <w:semiHidden/>
    <w:unhideWhenUsed/>
    <w:rsid w:val="009E6ED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699700" w:themeFill="accent2" w:themeFillShade="CC"/>
      </w:tcPr>
    </w:tblStylePr>
    <w:tblStylePr w:type="lastRow">
      <w:rPr>
        <w:b/>
        <w:bCs/>
        <w:color w:val="6997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9E6ED7"/>
    <w:rPr>
      <w:color w:val="000000" w:themeColor="text1"/>
    </w:rPr>
    <w:tblPr>
      <w:tblStyleRowBandSize w:val="1"/>
      <w:tblStyleColBandSize w:val="1"/>
    </w:tblPr>
    <w:tcPr>
      <w:shd w:val="clear" w:color="auto" w:fill="E3F9FF" w:themeFill="accent1" w:themeFillTint="19"/>
    </w:tcPr>
    <w:tblStylePr w:type="firstRow">
      <w:rPr>
        <w:b/>
        <w:bCs/>
        <w:color w:val="FFFFFF" w:themeColor="background1"/>
      </w:rPr>
      <w:tblPr/>
      <w:tcPr>
        <w:tcBorders>
          <w:bottom w:val="single" w:sz="12" w:space="0" w:color="FFFFFF" w:themeColor="background1"/>
        </w:tcBorders>
        <w:shd w:val="clear" w:color="auto" w:fill="699700" w:themeFill="accent2" w:themeFillShade="CC"/>
      </w:tcPr>
    </w:tblStylePr>
    <w:tblStylePr w:type="lastRow">
      <w:rPr>
        <w:b/>
        <w:bCs/>
        <w:color w:val="6997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8F0FF" w:themeFill="accent1" w:themeFillTint="3F"/>
      </w:tcPr>
    </w:tblStylePr>
    <w:tblStylePr w:type="band1Horz">
      <w:tblPr/>
      <w:tcPr>
        <w:shd w:val="clear" w:color="auto" w:fill="C6F3FF" w:themeFill="accent1" w:themeFillTint="33"/>
      </w:tcPr>
    </w:tblStylePr>
  </w:style>
  <w:style w:type="table" w:styleId="ColorfulList-Accent2">
    <w:name w:val="Colorful List Accent 2"/>
    <w:basedOn w:val="TableNormal"/>
    <w:uiPriority w:val="72"/>
    <w:semiHidden/>
    <w:unhideWhenUsed/>
    <w:rsid w:val="009E6ED7"/>
    <w:rPr>
      <w:color w:val="000000" w:themeColor="text1"/>
    </w:rPr>
    <w:tblPr>
      <w:tblStyleRowBandSize w:val="1"/>
      <w:tblStyleColBandSize w:val="1"/>
    </w:tblPr>
    <w:tcPr>
      <w:shd w:val="clear" w:color="auto" w:fill="F5FFDF" w:themeFill="accent2" w:themeFillTint="19"/>
    </w:tcPr>
    <w:tblStylePr w:type="firstRow">
      <w:rPr>
        <w:b/>
        <w:bCs/>
        <w:color w:val="FFFFFF" w:themeColor="background1"/>
      </w:rPr>
      <w:tblPr/>
      <w:tcPr>
        <w:tcBorders>
          <w:bottom w:val="single" w:sz="12" w:space="0" w:color="FFFFFF" w:themeColor="background1"/>
        </w:tcBorders>
        <w:shd w:val="clear" w:color="auto" w:fill="699700" w:themeFill="accent2" w:themeFillShade="CC"/>
      </w:tcPr>
    </w:tblStylePr>
    <w:tblStylePr w:type="lastRow">
      <w:rPr>
        <w:b/>
        <w:bCs/>
        <w:color w:val="6997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7FFAF" w:themeFill="accent2" w:themeFillTint="3F"/>
      </w:tcPr>
    </w:tblStylePr>
    <w:tblStylePr w:type="band1Horz">
      <w:tblPr/>
      <w:tcPr>
        <w:shd w:val="clear" w:color="auto" w:fill="EBFFBE" w:themeFill="accent2" w:themeFillTint="33"/>
      </w:tcPr>
    </w:tblStylePr>
  </w:style>
  <w:style w:type="table" w:styleId="ColorfulList-Accent3">
    <w:name w:val="Colorful List Accent 3"/>
    <w:basedOn w:val="TableNormal"/>
    <w:uiPriority w:val="72"/>
    <w:semiHidden/>
    <w:unhideWhenUsed/>
    <w:rsid w:val="009E6ED7"/>
    <w:rPr>
      <w:color w:val="000000" w:themeColor="text1"/>
    </w:rPr>
    <w:tblPr>
      <w:tblStyleRowBandSize w:val="1"/>
      <w:tblStyleColBandSize w:val="1"/>
    </w:tblPr>
    <w:tcPr>
      <w:shd w:val="clear" w:color="auto" w:fill="FEF3E8" w:themeFill="accent3" w:themeFillTint="19"/>
    </w:tcPr>
    <w:tblStylePr w:type="firstRow">
      <w:rPr>
        <w:b/>
        <w:bCs/>
        <w:color w:val="FFFFFF" w:themeColor="background1"/>
      </w:rPr>
      <w:tblPr/>
      <w:tcPr>
        <w:tcBorders>
          <w:bottom w:val="single" w:sz="12" w:space="0" w:color="FFFFFF" w:themeColor="background1"/>
        </w:tcBorders>
        <w:shd w:val="clear" w:color="auto" w:fill="7E0064" w:themeFill="accent4" w:themeFillShade="CC"/>
      </w:tcPr>
    </w:tblStylePr>
    <w:tblStylePr w:type="lastRow">
      <w:rPr>
        <w:b/>
        <w:bCs/>
        <w:color w:val="7E0064"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CE2C7" w:themeFill="accent3" w:themeFillTint="3F"/>
      </w:tcPr>
    </w:tblStylePr>
    <w:tblStylePr w:type="band1Horz">
      <w:tblPr/>
      <w:tcPr>
        <w:shd w:val="clear" w:color="auto" w:fill="FDE7D2" w:themeFill="accent3" w:themeFillTint="33"/>
      </w:tcPr>
    </w:tblStylePr>
  </w:style>
  <w:style w:type="table" w:styleId="ColorfulList-Accent4">
    <w:name w:val="Colorful List Accent 4"/>
    <w:basedOn w:val="TableNormal"/>
    <w:uiPriority w:val="72"/>
    <w:semiHidden/>
    <w:unhideWhenUsed/>
    <w:rsid w:val="009E6ED7"/>
    <w:rPr>
      <w:color w:val="000000" w:themeColor="text1"/>
    </w:rPr>
    <w:tblPr>
      <w:tblStyleRowBandSize w:val="1"/>
      <w:tblStyleColBandSize w:val="1"/>
    </w:tblPr>
    <w:tcPr>
      <w:shd w:val="clear" w:color="auto" w:fill="FFDCF7" w:themeFill="accent4" w:themeFillTint="19"/>
    </w:tcPr>
    <w:tblStylePr w:type="firstRow">
      <w:rPr>
        <w:b/>
        <w:bCs/>
        <w:color w:val="FFFFFF" w:themeColor="background1"/>
      </w:rPr>
      <w:tblPr/>
      <w:tcPr>
        <w:tcBorders>
          <w:bottom w:val="single" w:sz="12" w:space="0" w:color="FFFFFF" w:themeColor="background1"/>
        </w:tcBorders>
        <w:shd w:val="clear" w:color="auto" w:fill="D46F08" w:themeFill="accent3" w:themeFillShade="CC"/>
      </w:tcPr>
    </w:tblStylePr>
    <w:tblStylePr w:type="lastRow">
      <w:rPr>
        <w:b/>
        <w:bCs/>
        <w:color w:val="D46F08"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A8ED" w:themeFill="accent4" w:themeFillTint="3F"/>
      </w:tcPr>
    </w:tblStylePr>
    <w:tblStylePr w:type="band1Horz">
      <w:tblPr/>
      <w:tcPr>
        <w:shd w:val="clear" w:color="auto" w:fill="FFB8F0" w:themeFill="accent4" w:themeFillTint="33"/>
      </w:tcPr>
    </w:tblStylePr>
  </w:style>
  <w:style w:type="table" w:styleId="ColorfulList-Accent5">
    <w:name w:val="Colorful List Accent 5"/>
    <w:basedOn w:val="TableNormal"/>
    <w:uiPriority w:val="72"/>
    <w:semiHidden/>
    <w:unhideWhenUsed/>
    <w:rsid w:val="009E6ED7"/>
    <w:rPr>
      <w:color w:val="000000" w:themeColor="text1"/>
    </w:rPr>
    <w:tblPr>
      <w:tblStyleRowBandSize w:val="1"/>
      <w:tblStyleColBandSize w:val="1"/>
    </w:tblPr>
    <w:tcPr>
      <w:shd w:val="clear" w:color="auto" w:fill="FFFCE7" w:themeFill="accent5" w:themeFillTint="19"/>
    </w:tcPr>
    <w:tblStylePr w:type="firstRow">
      <w:rPr>
        <w:b/>
        <w:bCs/>
        <w:color w:val="FFFFFF" w:themeColor="background1"/>
      </w:rPr>
      <w:tblPr/>
      <w:tcPr>
        <w:tcBorders>
          <w:bottom w:val="single" w:sz="12" w:space="0" w:color="FFFFFF" w:themeColor="background1"/>
        </w:tcBorders>
        <w:shd w:val="clear" w:color="auto" w:fill="706760" w:themeFill="accent6" w:themeFillShade="CC"/>
      </w:tcPr>
    </w:tblStylePr>
    <w:tblStylePr w:type="lastRow">
      <w:rPr>
        <w:b/>
        <w:bCs/>
        <w:color w:val="706760"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8C4" w:themeFill="accent5" w:themeFillTint="3F"/>
      </w:tcPr>
    </w:tblStylePr>
    <w:tblStylePr w:type="band1Horz">
      <w:tblPr/>
      <w:tcPr>
        <w:shd w:val="clear" w:color="auto" w:fill="FFF9CF" w:themeFill="accent5" w:themeFillTint="33"/>
      </w:tcPr>
    </w:tblStylePr>
  </w:style>
  <w:style w:type="table" w:styleId="ColorfulList-Accent6">
    <w:name w:val="Colorful List Accent 6"/>
    <w:basedOn w:val="TableNormal"/>
    <w:uiPriority w:val="72"/>
    <w:semiHidden/>
    <w:unhideWhenUsed/>
    <w:rsid w:val="009E6ED7"/>
    <w:rPr>
      <w:color w:val="000000" w:themeColor="text1"/>
    </w:rPr>
    <w:tblPr>
      <w:tblStyleRowBandSize w:val="1"/>
      <w:tblStyleColBandSize w:val="1"/>
    </w:tblPr>
    <w:tcPr>
      <w:shd w:val="clear" w:color="auto" w:fill="F3F2F1" w:themeFill="accent6" w:themeFillTint="19"/>
    </w:tcPr>
    <w:tblStylePr w:type="firstRow">
      <w:rPr>
        <w:b/>
        <w:bCs/>
        <w:color w:val="FFFFFF" w:themeColor="background1"/>
      </w:rPr>
      <w:tblPr/>
      <w:tcPr>
        <w:tcBorders>
          <w:bottom w:val="single" w:sz="12" w:space="0" w:color="FFFFFF" w:themeColor="background1"/>
        </w:tcBorders>
        <w:shd w:val="clear" w:color="auto" w:fill="DAC200" w:themeFill="accent5" w:themeFillShade="CC"/>
      </w:tcPr>
    </w:tblStylePr>
    <w:tblStylePr w:type="lastRow">
      <w:rPr>
        <w:b/>
        <w:bCs/>
        <w:color w:val="DAC20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2E0DD" w:themeFill="accent6" w:themeFillTint="3F"/>
      </w:tcPr>
    </w:tblStylePr>
    <w:tblStylePr w:type="band1Horz">
      <w:tblPr/>
      <w:tcPr>
        <w:shd w:val="clear" w:color="auto" w:fill="E8E5E4" w:themeFill="accent6" w:themeFillTint="33"/>
      </w:tcPr>
    </w:tblStylePr>
  </w:style>
  <w:style w:type="table" w:styleId="ColorfulShading">
    <w:name w:val="Colorful Shading"/>
    <w:basedOn w:val="TableNormal"/>
    <w:uiPriority w:val="71"/>
    <w:semiHidden/>
    <w:unhideWhenUsed/>
    <w:rsid w:val="009E6ED7"/>
    <w:rPr>
      <w:color w:val="000000" w:themeColor="text1"/>
    </w:rPr>
    <w:tblPr>
      <w:tblStyleRowBandSize w:val="1"/>
      <w:tblStyleColBandSize w:val="1"/>
      <w:tblBorders>
        <w:top w:val="single" w:sz="24" w:space="0" w:color="84BD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84BD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9E6ED7"/>
    <w:rPr>
      <w:color w:val="000000" w:themeColor="text1"/>
    </w:rPr>
    <w:tblPr>
      <w:tblStyleRowBandSize w:val="1"/>
      <w:tblStyleColBandSize w:val="1"/>
      <w:tblBorders>
        <w:top w:val="single" w:sz="24" w:space="0" w:color="84BD00" w:themeColor="accent2"/>
        <w:left w:val="single" w:sz="4" w:space="0" w:color="00B5E2" w:themeColor="accent1"/>
        <w:bottom w:val="single" w:sz="4" w:space="0" w:color="00B5E2" w:themeColor="accent1"/>
        <w:right w:val="single" w:sz="4" w:space="0" w:color="00B5E2" w:themeColor="accent1"/>
        <w:insideH w:val="single" w:sz="4" w:space="0" w:color="FFFFFF" w:themeColor="background1"/>
        <w:insideV w:val="single" w:sz="4" w:space="0" w:color="FFFFFF" w:themeColor="background1"/>
      </w:tblBorders>
    </w:tblPr>
    <w:tcPr>
      <w:shd w:val="clear" w:color="auto" w:fill="E3F9FF" w:themeFill="accent1" w:themeFillTint="19"/>
    </w:tcPr>
    <w:tblStylePr w:type="firstRow">
      <w:rPr>
        <w:b/>
        <w:bCs/>
      </w:rPr>
      <w:tblPr/>
      <w:tcPr>
        <w:tcBorders>
          <w:top w:val="nil"/>
          <w:left w:val="nil"/>
          <w:bottom w:val="single" w:sz="24" w:space="0" w:color="84BD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C87" w:themeFill="accent1" w:themeFillShade="99"/>
      </w:tcPr>
    </w:tblStylePr>
    <w:tblStylePr w:type="firstCol">
      <w:rPr>
        <w:color w:val="FFFFFF" w:themeColor="background1"/>
      </w:rPr>
      <w:tblPr/>
      <w:tcPr>
        <w:tcBorders>
          <w:top w:val="nil"/>
          <w:left w:val="nil"/>
          <w:bottom w:val="nil"/>
          <w:right w:val="nil"/>
          <w:insideH w:val="single" w:sz="4" w:space="0" w:color="006C87" w:themeColor="accent1" w:themeShade="99"/>
          <w:insideV w:val="nil"/>
        </w:tcBorders>
        <w:shd w:val="clear" w:color="auto" w:fill="006C87"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6C87" w:themeFill="accent1" w:themeFillShade="99"/>
      </w:tcPr>
    </w:tblStylePr>
    <w:tblStylePr w:type="band1Vert">
      <w:tblPr/>
      <w:tcPr>
        <w:shd w:val="clear" w:color="auto" w:fill="8DE8FF" w:themeFill="accent1" w:themeFillTint="66"/>
      </w:tcPr>
    </w:tblStylePr>
    <w:tblStylePr w:type="band1Horz">
      <w:tblPr/>
      <w:tcPr>
        <w:shd w:val="clear" w:color="auto" w:fill="71E2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9E6ED7"/>
    <w:rPr>
      <w:color w:val="000000" w:themeColor="text1"/>
    </w:rPr>
    <w:tblPr>
      <w:tblStyleRowBandSize w:val="1"/>
      <w:tblStyleColBandSize w:val="1"/>
      <w:tblBorders>
        <w:top w:val="single" w:sz="24" w:space="0" w:color="84BD00" w:themeColor="accent2"/>
        <w:left w:val="single" w:sz="4" w:space="0" w:color="84BD00" w:themeColor="accent2"/>
        <w:bottom w:val="single" w:sz="4" w:space="0" w:color="84BD00" w:themeColor="accent2"/>
        <w:right w:val="single" w:sz="4" w:space="0" w:color="84BD00" w:themeColor="accent2"/>
        <w:insideH w:val="single" w:sz="4" w:space="0" w:color="FFFFFF" w:themeColor="background1"/>
        <w:insideV w:val="single" w:sz="4" w:space="0" w:color="FFFFFF" w:themeColor="background1"/>
      </w:tblBorders>
    </w:tblPr>
    <w:tcPr>
      <w:shd w:val="clear" w:color="auto" w:fill="F5FFDF" w:themeFill="accent2" w:themeFillTint="19"/>
    </w:tcPr>
    <w:tblStylePr w:type="firstRow">
      <w:rPr>
        <w:b/>
        <w:bCs/>
      </w:rPr>
      <w:tblPr/>
      <w:tcPr>
        <w:tcBorders>
          <w:top w:val="nil"/>
          <w:left w:val="nil"/>
          <w:bottom w:val="single" w:sz="24" w:space="0" w:color="84BD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F7100" w:themeFill="accent2" w:themeFillShade="99"/>
      </w:tcPr>
    </w:tblStylePr>
    <w:tblStylePr w:type="firstCol">
      <w:rPr>
        <w:color w:val="FFFFFF" w:themeColor="background1"/>
      </w:rPr>
      <w:tblPr/>
      <w:tcPr>
        <w:tcBorders>
          <w:top w:val="nil"/>
          <w:left w:val="nil"/>
          <w:bottom w:val="nil"/>
          <w:right w:val="nil"/>
          <w:insideH w:val="single" w:sz="4" w:space="0" w:color="4F7100" w:themeColor="accent2" w:themeShade="99"/>
          <w:insideV w:val="nil"/>
        </w:tcBorders>
        <w:shd w:val="clear" w:color="auto" w:fill="4F71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4F7100" w:themeFill="accent2" w:themeFillShade="99"/>
      </w:tcPr>
    </w:tblStylePr>
    <w:tblStylePr w:type="band1Vert">
      <w:tblPr/>
      <w:tcPr>
        <w:shd w:val="clear" w:color="auto" w:fill="D8FF7E" w:themeFill="accent2" w:themeFillTint="66"/>
      </w:tcPr>
    </w:tblStylePr>
    <w:tblStylePr w:type="band1Horz">
      <w:tblPr/>
      <w:tcPr>
        <w:shd w:val="clear" w:color="auto" w:fill="CEFF5F"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9E6ED7"/>
    <w:rPr>
      <w:color w:val="000000" w:themeColor="text1"/>
    </w:rPr>
    <w:tblPr>
      <w:tblStyleRowBandSize w:val="1"/>
      <w:tblStyleColBandSize w:val="1"/>
      <w:tblBorders>
        <w:top w:val="single" w:sz="24" w:space="0" w:color="9E007E" w:themeColor="accent4"/>
        <w:left w:val="single" w:sz="4" w:space="0" w:color="F68B1F" w:themeColor="accent3"/>
        <w:bottom w:val="single" w:sz="4" w:space="0" w:color="F68B1F" w:themeColor="accent3"/>
        <w:right w:val="single" w:sz="4" w:space="0" w:color="F68B1F" w:themeColor="accent3"/>
        <w:insideH w:val="single" w:sz="4" w:space="0" w:color="FFFFFF" w:themeColor="background1"/>
        <w:insideV w:val="single" w:sz="4" w:space="0" w:color="FFFFFF" w:themeColor="background1"/>
      </w:tblBorders>
    </w:tblPr>
    <w:tcPr>
      <w:shd w:val="clear" w:color="auto" w:fill="FEF3E8" w:themeFill="accent3" w:themeFillTint="19"/>
    </w:tcPr>
    <w:tblStylePr w:type="firstRow">
      <w:rPr>
        <w:b/>
        <w:bCs/>
      </w:rPr>
      <w:tblPr/>
      <w:tcPr>
        <w:tcBorders>
          <w:top w:val="nil"/>
          <w:left w:val="nil"/>
          <w:bottom w:val="single" w:sz="24" w:space="0" w:color="9E007E"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F5306" w:themeFill="accent3" w:themeFillShade="99"/>
      </w:tcPr>
    </w:tblStylePr>
    <w:tblStylePr w:type="firstCol">
      <w:rPr>
        <w:color w:val="FFFFFF" w:themeColor="background1"/>
      </w:rPr>
      <w:tblPr/>
      <w:tcPr>
        <w:tcBorders>
          <w:top w:val="nil"/>
          <w:left w:val="nil"/>
          <w:bottom w:val="nil"/>
          <w:right w:val="nil"/>
          <w:insideH w:val="single" w:sz="4" w:space="0" w:color="9F5306" w:themeColor="accent3" w:themeShade="99"/>
          <w:insideV w:val="nil"/>
        </w:tcBorders>
        <w:shd w:val="clear" w:color="auto" w:fill="9F5306"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9F5306" w:themeFill="accent3" w:themeFillShade="99"/>
      </w:tcPr>
    </w:tblStylePr>
    <w:tblStylePr w:type="band1Vert">
      <w:tblPr/>
      <w:tcPr>
        <w:shd w:val="clear" w:color="auto" w:fill="FBD0A5" w:themeFill="accent3" w:themeFillTint="66"/>
      </w:tcPr>
    </w:tblStylePr>
    <w:tblStylePr w:type="band1Horz">
      <w:tblPr/>
      <w:tcPr>
        <w:shd w:val="clear" w:color="auto" w:fill="FAC58F" w:themeFill="accent3" w:themeFillTint="7F"/>
      </w:tcPr>
    </w:tblStylePr>
  </w:style>
  <w:style w:type="table" w:styleId="ColorfulShading-Accent4">
    <w:name w:val="Colorful Shading Accent 4"/>
    <w:basedOn w:val="TableNormal"/>
    <w:uiPriority w:val="71"/>
    <w:semiHidden/>
    <w:unhideWhenUsed/>
    <w:rsid w:val="009E6ED7"/>
    <w:rPr>
      <w:color w:val="000000" w:themeColor="text1"/>
    </w:rPr>
    <w:tblPr>
      <w:tblStyleRowBandSize w:val="1"/>
      <w:tblStyleColBandSize w:val="1"/>
      <w:tblBorders>
        <w:top w:val="single" w:sz="24" w:space="0" w:color="F68B1F" w:themeColor="accent3"/>
        <w:left w:val="single" w:sz="4" w:space="0" w:color="9E007E" w:themeColor="accent4"/>
        <w:bottom w:val="single" w:sz="4" w:space="0" w:color="9E007E" w:themeColor="accent4"/>
        <w:right w:val="single" w:sz="4" w:space="0" w:color="9E007E" w:themeColor="accent4"/>
        <w:insideH w:val="single" w:sz="4" w:space="0" w:color="FFFFFF" w:themeColor="background1"/>
        <w:insideV w:val="single" w:sz="4" w:space="0" w:color="FFFFFF" w:themeColor="background1"/>
      </w:tblBorders>
    </w:tblPr>
    <w:tcPr>
      <w:shd w:val="clear" w:color="auto" w:fill="FFDCF7" w:themeFill="accent4" w:themeFillTint="19"/>
    </w:tcPr>
    <w:tblStylePr w:type="firstRow">
      <w:rPr>
        <w:b/>
        <w:bCs/>
      </w:rPr>
      <w:tblPr/>
      <w:tcPr>
        <w:tcBorders>
          <w:top w:val="nil"/>
          <w:left w:val="nil"/>
          <w:bottom w:val="single" w:sz="24" w:space="0" w:color="F68B1F"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004B" w:themeFill="accent4" w:themeFillShade="99"/>
      </w:tcPr>
    </w:tblStylePr>
    <w:tblStylePr w:type="firstCol">
      <w:rPr>
        <w:color w:val="FFFFFF" w:themeColor="background1"/>
      </w:rPr>
      <w:tblPr/>
      <w:tcPr>
        <w:tcBorders>
          <w:top w:val="nil"/>
          <w:left w:val="nil"/>
          <w:bottom w:val="nil"/>
          <w:right w:val="nil"/>
          <w:insideH w:val="single" w:sz="4" w:space="0" w:color="5E004B" w:themeColor="accent4" w:themeShade="99"/>
          <w:insideV w:val="nil"/>
        </w:tcBorders>
        <w:shd w:val="clear" w:color="auto" w:fill="5E004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E004B" w:themeFill="accent4" w:themeFillShade="99"/>
      </w:tcPr>
    </w:tblStylePr>
    <w:tblStylePr w:type="band1Vert">
      <w:tblPr/>
      <w:tcPr>
        <w:shd w:val="clear" w:color="auto" w:fill="FF72E2" w:themeFill="accent4" w:themeFillTint="66"/>
      </w:tcPr>
    </w:tblStylePr>
    <w:tblStylePr w:type="band1Horz">
      <w:tblPr/>
      <w:tcPr>
        <w:shd w:val="clear" w:color="auto" w:fill="FF4FDB"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9E6ED7"/>
    <w:rPr>
      <w:color w:val="000000" w:themeColor="text1"/>
    </w:rPr>
    <w:tblPr>
      <w:tblStyleRowBandSize w:val="1"/>
      <w:tblStyleColBandSize w:val="1"/>
      <w:tblBorders>
        <w:top w:val="single" w:sz="24" w:space="0" w:color="8C8279" w:themeColor="accent6"/>
        <w:left w:val="single" w:sz="4" w:space="0" w:color="FFE512" w:themeColor="accent5"/>
        <w:bottom w:val="single" w:sz="4" w:space="0" w:color="FFE512" w:themeColor="accent5"/>
        <w:right w:val="single" w:sz="4" w:space="0" w:color="FFE512" w:themeColor="accent5"/>
        <w:insideH w:val="single" w:sz="4" w:space="0" w:color="FFFFFF" w:themeColor="background1"/>
        <w:insideV w:val="single" w:sz="4" w:space="0" w:color="FFFFFF" w:themeColor="background1"/>
      </w:tblBorders>
    </w:tblPr>
    <w:tcPr>
      <w:shd w:val="clear" w:color="auto" w:fill="FFFCE7" w:themeFill="accent5" w:themeFillTint="19"/>
    </w:tcPr>
    <w:tblStylePr w:type="firstRow">
      <w:rPr>
        <w:b/>
        <w:bCs/>
      </w:rPr>
      <w:tblPr/>
      <w:tcPr>
        <w:tcBorders>
          <w:top w:val="nil"/>
          <w:left w:val="nil"/>
          <w:bottom w:val="single" w:sz="24" w:space="0" w:color="8C8279"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39100" w:themeFill="accent5" w:themeFillShade="99"/>
      </w:tcPr>
    </w:tblStylePr>
    <w:tblStylePr w:type="firstCol">
      <w:rPr>
        <w:color w:val="FFFFFF" w:themeColor="background1"/>
      </w:rPr>
      <w:tblPr/>
      <w:tcPr>
        <w:tcBorders>
          <w:top w:val="nil"/>
          <w:left w:val="nil"/>
          <w:bottom w:val="nil"/>
          <w:right w:val="nil"/>
          <w:insideH w:val="single" w:sz="4" w:space="0" w:color="A39100" w:themeColor="accent5" w:themeShade="99"/>
          <w:insideV w:val="nil"/>
        </w:tcBorders>
        <w:shd w:val="clear" w:color="auto" w:fill="A391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A39100" w:themeFill="accent5" w:themeFillShade="99"/>
      </w:tcPr>
    </w:tblStylePr>
    <w:tblStylePr w:type="band1Vert">
      <w:tblPr/>
      <w:tcPr>
        <w:shd w:val="clear" w:color="auto" w:fill="FFF4A0" w:themeFill="accent5" w:themeFillTint="66"/>
      </w:tcPr>
    </w:tblStylePr>
    <w:tblStylePr w:type="band1Horz">
      <w:tblPr/>
      <w:tcPr>
        <w:shd w:val="clear" w:color="auto" w:fill="FFF288"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9E6ED7"/>
    <w:rPr>
      <w:color w:val="000000" w:themeColor="text1"/>
    </w:rPr>
    <w:tblPr>
      <w:tblStyleRowBandSize w:val="1"/>
      <w:tblStyleColBandSize w:val="1"/>
      <w:tblBorders>
        <w:top w:val="single" w:sz="24" w:space="0" w:color="FFE512" w:themeColor="accent5"/>
        <w:left w:val="single" w:sz="4" w:space="0" w:color="8C8279" w:themeColor="accent6"/>
        <w:bottom w:val="single" w:sz="4" w:space="0" w:color="8C8279" w:themeColor="accent6"/>
        <w:right w:val="single" w:sz="4" w:space="0" w:color="8C8279" w:themeColor="accent6"/>
        <w:insideH w:val="single" w:sz="4" w:space="0" w:color="FFFFFF" w:themeColor="background1"/>
        <w:insideV w:val="single" w:sz="4" w:space="0" w:color="FFFFFF" w:themeColor="background1"/>
      </w:tblBorders>
    </w:tblPr>
    <w:tcPr>
      <w:shd w:val="clear" w:color="auto" w:fill="F3F2F1" w:themeFill="accent6" w:themeFillTint="19"/>
    </w:tcPr>
    <w:tblStylePr w:type="firstRow">
      <w:rPr>
        <w:b/>
        <w:bCs/>
      </w:rPr>
      <w:tblPr/>
      <w:tcPr>
        <w:tcBorders>
          <w:top w:val="nil"/>
          <w:left w:val="nil"/>
          <w:bottom w:val="single" w:sz="24" w:space="0" w:color="FFE512"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44D48" w:themeFill="accent6" w:themeFillShade="99"/>
      </w:tcPr>
    </w:tblStylePr>
    <w:tblStylePr w:type="firstCol">
      <w:rPr>
        <w:color w:val="FFFFFF" w:themeColor="background1"/>
      </w:rPr>
      <w:tblPr/>
      <w:tcPr>
        <w:tcBorders>
          <w:top w:val="nil"/>
          <w:left w:val="nil"/>
          <w:bottom w:val="nil"/>
          <w:right w:val="nil"/>
          <w:insideH w:val="single" w:sz="4" w:space="0" w:color="544D48" w:themeColor="accent6" w:themeShade="99"/>
          <w:insideV w:val="nil"/>
        </w:tcBorders>
        <w:shd w:val="clear" w:color="auto" w:fill="544D4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544D48" w:themeFill="accent6" w:themeFillShade="99"/>
      </w:tcPr>
    </w:tblStylePr>
    <w:tblStylePr w:type="band1Vert">
      <w:tblPr/>
      <w:tcPr>
        <w:shd w:val="clear" w:color="auto" w:fill="D1CCC9" w:themeFill="accent6" w:themeFillTint="66"/>
      </w:tcPr>
    </w:tblStylePr>
    <w:tblStylePr w:type="band1Horz">
      <w:tblPr/>
      <w:tcPr>
        <w:shd w:val="clear" w:color="auto" w:fill="C5C0BC"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9E6ED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9E6ED7"/>
    <w:rPr>
      <w:color w:val="FFFFFF" w:themeColor="background1"/>
    </w:rPr>
    <w:tblPr>
      <w:tblStyleRowBandSize w:val="1"/>
      <w:tblStyleColBandSize w:val="1"/>
    </w:tblPr>
    <w:tcPr>
      <w:shd w:val="clear" w:color="auto" w:fill="00B5E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597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87A9"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87A9" w:themeFill="accent1" w:themeFillShade="BF"/>
      </w:tcPr>
    </w:tblStylePr>
    <w:tblStylePr w:type="band1Vert">
      <w:tblPr/>
      <w:tcPr>
        <w:tcBorders>
          <w:top w:val="nil"/>
          <w:left w:val="nil"/>
          <w:bottom w:val="nil"/>
          <w:right w:val="nil"/>
          <w:insideH w:val="nil"/>
          <w:insideV w:val="nil"/>
        </w:tcBorders>
        <w:shd w:val="clear" w:color="auto" w:fill="0087A9" w:themeFill="accent1" w:themeFillShade="BF"/>
      </w:tcPr>
    </w:tblStylePr>
    <w:tblStylePr w:type="band1Horz">
      <w:tblPr/>
      <w:tcPr>
        <w:tcBorders>
          <w:top w:val="nil"/>
          <w:left w:val="nil"/>
          <w:bottom w:val="nil"/>
          <w:right w:val="nil"/>
          <w:insideH w:val="nil"/>
          <w:insideV w:val="nil"/>
        </w:tcBorders>
        <w:shd w:val="clear" w:color="auto" w:fill="0087A9" w:themeFill="accent1" w:themeFillShade="BF"/>
      </w:tcPr>
    </w:tblStylePr>
  </w:style>
  <w:style w:type="table" w:styleId="DarkList-Accent2">
    <w:name w:val="Dark List Accent 2"/>
    <w:basedOn w:val="TableNormal"/>
    <w:uiPriority w:val="70"/>
    <w:semiHidden/>
    <w:unhideWhenUsed/>
    <w:rsid w:val="009E6ED7"/>
    <w:rPr>
      <w:color w:val="FFFFFF" w:themeColor="background1"/>
    </w:rPr>
    <w:tblPr>
      <w:tblStyleRowBandSize w:val="1"/>
      <w:tblStyleColBandSize w:val="1"/>
    </w:tblPr>
    <w:tcPr>
      <w:shd w:val="clear" w:color="auto" w:fill="84BD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15E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628D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628D00" w:themeFill="accent2" w:themeFillShade="BF"/>
      </w:tcPr>
    </w:tblStylePr>
    <w:tblStylePr w:type="band1Vert">
      <w:tblPr/>
      <w:tcPr>
        <w:tcBorders>
          <w:top w:val="nil"/>
          <w:left w:val="nil"/>
          <w:bottom w:val="nil"/>
          <w:right w:val="nil"/>
          <w:insideH w:val="nil"/>
          <w:insideV w:val="nil"/>
        </w:tcBorders>
        <w:shd w:val="clear" w:color="auto" w:fill="628D00" w:themeFill="accent2" w:themeFillShade="BF"/>
      </w:tcPr>
    </w:tblStylePr>
    <w:tblStylePr w:type="band1Horz">
      <w:tblPr/>
      <w:tcPr>
        <w:tcBorders>
          <w:top w:val="nil"/>
          <w:left w:val="nil"/>
          <w:bottom w:val="nil"/>
          <w:right w:val="nil"/>
          <w:insideH w:val="nil"/>
          <w:insideV w:val="nil"/>
        </w:tcBorders>
        <w:shd w:val="clear" w:color="auto" w:fill="628D00" w:themeFill="accent2" w:themeFillShade="BF"/>
      </w:tcPr>
    </w:tblStylePr>
  </w:style>
  <w:style w:type="table" w:styleId="DarkList-Accent3">
    <w:name w:val="Dark List Accent 3"/>
    <w:basedOn w:val="TableNormal"/>
    <w:uiPriority w:val="70"/>
    <w:semiHidden/>
    <w:unhideWhenUsed/>
    <w:rsid w:val="009E6ED7"/>
    <w:rPr>
      <w:color w:val="FFFFFF" w:themeColor="background1"/>
    </w:rPr>
    <w:tblPr>
      <w:tblStyleRowBandSize w:val="1"/>
      <w:tblStyleColBandSize w:val="1"/>
    </w:tblPr>
    <w:tcPr>
      <w:shd w:val="clear" w:color="auto" w:fill="F68B1F"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44505"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C76808"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C76808" w:themeFill="accent3" w:themeFillShade="BF"/>
      </w:tcPr>
    </w:tblStylePr>
    <w:tblStylePr w:type="band1Vert">
      <w:tblPr/>
      <w:tcPr>
        <w:tcBorders>
          <w:top w:val="nil"/>
          <w:left w:val="nil"/>
          <w:bottom w:val="nil"/>
          <w:right w:val="nil"/>
          <w:insideH w:val="nil"/>
          <w:insideV w:val="nil"/>
        </w:tcBorders>
        <w:shd w:val="clear" w:color="auto" w:fill="C76808" w:themeFill="accent3" w:themeFillShade="BF"/>
      </w:tcPr>
    </w:tblStylePr>
    <w:tblStylePr w:type="band1Horz">
      <w:tblPr/>
      <w:tcPr>
        <w:tcBorders>
          <w:top w:val="nil"/>
          <w:left w:val="nil"/>
          <w:bottom w:val="nil"/>
          <w:right w:val="nil"/>
          <w:insideH w:val="nil"/>
          <w:insideV w:val="nil"/>
        </w:tcBorders>
        <w:shd w:val="clear" w:color="auto" w:fill="C76808" w:themeFill="accent3" w:themeFillShade="BF"/>
      </w:tcPr>
    </w:tblStylePr>
  </w:style>
  <w:style w:type="table" w:styleId="DarkList-Accent4">
    <w:name w:val="Dark List Accent 4"/>
    <w:basedOn w:val="TableNormal"/>
    <w:uiPriority w:val="70"/>
    <w:semiHidden/>
    <w:unhideWhenUsed/>
    <w:rsid w:val="009E6ED7"/>
    <w:rPr>
      <w:color w:val="FFFFFF" w:themeColor="background1"/>
    </w:rPr>
    <w:tblPr>
      <w:tblStyleRowBandSize w:val="1"/>
      <w:tblStyleColBandSize w:val="1"/>
    </w:tblPr>
    <w:tcPr>
      <w:shd w:val="clear" w:color="auto" w:fill="9E007E"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003E"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6005E"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6005E" w:themeFill="accent4" w:themeFillShade="BF"/>
      </w:tcPr>
    </w:tblStylePr>
    <w:tblStylePr w:type="band1Vert">
      <w:tblPr/>
      <w:tcPr>
        <w:tcBorders>
          <w:top w:val="nil"/>
          <w:left w:val="nil"/>
          <w:bottom w:val="nil"/>
          <w:right w:val="nil"/>
          <w:insideH w:val="nil"/>
          <w:insideV w:val="nil"/>
        </w:tcBorders>
        <w:shd w:val="clear" w:color="auto" w:fill="76005E" w:themeFill="accent4" w:themeFillShade="BF"/>
      </w:tcPr>
    </w:tblStylePr>
    <w:tblStylePr w:type="band1Horz">
      <w:tblPr/>
      <w:tcPr>
        <w:tcBorders>
          <w:top w:val="nil"/>
          <w:left w:val="nil"/>
          <w:bottom w:val="nil"/>
          <w:right w:val="nil"/>
          <w:insideH w:val="nil"/>
          <w:insideV w:val="nil"/>
        </w:tcBorders>
        <w:shd w:val="clear" w:color="auto" w:fill="76005E" w:themeFill="accent4" w:themeFillShade="BF"/>
      </w:tcPr>
    </w:tblStylePr>
  </w:style>
  <w:style w:type="table" w:styleId="DarkList-Accent5">
    <w:name w:val="Dark List Accent 5"/>
    <w:basedOn w:val="TableNormal"/>
    <w:uiPriority w:val="70"/>
    <w:semiHidden/>
    <w:unhideWhenUsed/>
    <w:rsid w:val="009E6ED7"/>
    <w:rPr>
      <w:color w:val="FFFFFF" w:themeColor="background1"/>
    </w:rPr>
    <w:tblPr>
      <w:tblStyleRowBandSize w:val="1"/>
      <w:tblStyleColBandSize w:val="1"/>
    </w:tblPr>
    <w:tcPr>
      <w:shd w:val="clear" w:color="auto" w:fill="FFE512"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778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CCB50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CCB500" w:themeFill="accent5" w:themeFillShade="BF"/>
      </w:tcPr>
    </w:tblStylePr>
    <w:tblStylePr w:type="band1Vert">
      <w:tblPr/>
      <w:tcPr>
        <w:tcBorders>
          <w:top w:val="nil"/>
          <w:left w:val="nil"/>
          <w:bottom w:val="nil"/>
          <w:right w:val="nil"/>
          <w:insideH w:val="nil"/>
          <w:insideV w:val="nil"/>
        </w:tcBorders>
        <w:shd w:val="clear" w:color="auto" w:fill="CCB500" w:themeFill="accent5" w:themeFillShade="BF"/>
      </w:tcPr>
    </w:tblStylePr>
    <w:tblStylePr w:type="band1Horz">
      <w:tblPr/>
      <w:tcPr>
        <w:tcBorders>
          <w:top w:val="nil"/>
          <w:left w:val="nil"/>
          <w:bottom w:val="nil"/>
          <w:right w:val="nil"/>
          <w:insideH w:val="nil"/>
          <w:insideV w:val="nil"/>
        </w:tcBorders>
        <w:shd w:val="clear" w:color="auto" w:fill="CCB500" w:themeFill="accent5" w:themeFillShade="BF"/>
      </w:tcPr>
    </w:tblStylePr>
  </w:style>
  <w:style w:type="table" w:styleId="DarkList-Accent6">
    <w:name w:val="Dark List Accent 6"/>
    <w:basedOn w:val="TableNormal"/>
    <w:uiPriority w:val="70"/>
    <w:semiHidden/>
    <w:unhideWhenUsed/>
    <w:rsid w:val="009E6ED7"/>
    <w:rPr>
      <w:color w:val="FFFFFF" w:themeColor="background1"/>
    </w:rPr>
    <w:tblPr>
      <w:tblStyleRowBandSize w:val="1"/>
      <w:tblStyleColBandSize w:val="1"/>
    </w:tblPr>
    <w:tcPr>
      <w:shd w:val="clear" w:color="auto" w:fill="8C8279"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5403C"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9615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9615A" w:themeFill="accent6" w:themeFillShade="BF"/>
      </w:tcPr>
    </w:tblStylePr>
    <w:tblStylePr w:type="band1Vert">
      <w:tblPr/>
      <w:tcPr>
        <w:tcBorders>
          <w:top w:val="nil"/>
          <w:left w:val="nil"/>
          <w:bottom w:val="nil"/>
          <w:right w:val="nil"/>
          <w:insideH w:val="nil"/>
          <w:insideV w:val="nil"/>
        </w:tcBorders>
        <w:shd w:val="clear" w:color="auto" w:fill="69615A" w:themeFill="accent6" w:themeFillShade="BF"/>
      </w:tcPr>
    </w:tblStylePr>
    <w:tblStylePr w:type="band1Horz">
      <w:tblPr/>
      <w:tcPr>
        <w:tcBorders>
          <w:top w:val="nil"/>
          <w:left w:val="nil"/>
          <w:bottom w:val="nil"/>
          <w:right w:val="nil"/>
          <w:insideH w:val="nil"/>
          <w:insideV w:val="nil"/>
        </w:tcBorders>
        <w:shd w:val="clear" w:color="auto" w:fill="69615A" w:themeFill="accent6" w:themeFillShade="BF"/>
      </w:tcPr>
    </w:tblStylePr>
  </w:style>
  <w:style w:type="table" w:styleId="LightGrid">
    <w:name w:val="Light Grid"/>
    <w:basedOn w:val="TableNormal"/>
    <w:uiPriority w:val="62"/>
    <w:semiHidden/>
    <w:unhideWhenUsed/>
    <w:rsid w:val="009E6ED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9E6ED7"/>
    <w:tblPr>
      <w:tblStyleRowBandSize w:val="1"/>
      <w:tblStyleColBandSize w:val="1"/>
      <w:tblBorders>
        <w:top w:val="single" w:sz="8" w:space="0" w:color="00B5E2" w:themeColor="accent1"/>
        <w:left w:val="single" w:sz="8" w:space="0" w:color="00B5E2" w:themeColor="accent1"/>
        <w:bottom w:val="single" w:sz="8" w:space="0" w:color="00B5E2" w:themeColor="accent1"/>
        <w:right w:val="single" w:sz="8" w:space="0" w:color="00B5E2" w:themeColor="accent1"/>
        <w:insideH w:val="single" w:sz="8" w:space="0" w:color="00B5E2" w:themeColor="accent1"/>
        <w:insideV w:val="single" w:sz="8" w:space="0" w:color="00B5E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5E2" w:themeColor="accent1"/>
          <w:left w:val="single" w:sz="8" w:space="0" w:color="00B5E2" w:themeColor="accent1"/>
          <w:bottom w:val="single" w:sz="18" w:space="0" w:color="00B5E2" w:themeColor="accent1"/>
          <w:right w:val="single" w:sz="8" w:space="0" w:color="00B5E2" w:themeColor="accent1"/>
          <w:insideH w:val="nil"/>
          <w:insideV w:val="single" w:sz="8" w:space="0" w:color="00B5E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5E2" w:themeColor="accent1"/>
          <w:left w:val="single" w:sz="8" w:space="0" w:color="00B5E2" w:themeColor="accent1"/>
          <w:bottom w:val="single" w:sz="8" w:space="0" w:color="00B5E2" w:themeColor="accent1"/>
          <w:right w:val="single" w:sz="8" w:space="0" w:color="00B5E2" w:themeColor="accent1"/>
          <w:insideH w:val="nil"/>
          <w:insideV w:val="single" w:sz="8" w:space="0" w:color="00B5E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5E2" w:themeColor="accent1"/>
          <w:left w:val="single" w:sz="8" w:space="0" w:color="00B5E2" w:themeColor="accent1"/>
          <w:bottom w:val="single" w:sz="8" w:space="0" w:color="00B5E2" w:themeColor="accent1"/>
          <w:right w:val="single" w:sz="8" w:space="0" w:color="00B5E2" w:themeColor="accent1"/>
        </w:tcBorders>
      </w:tcPr>
    </w:tblStylePr>
    <w:tblStylePr w:type="band1Vert">
      <w:tblPr/>
      <w:tcPr>
        <w:tcBorders>
          <w:top w:val="single" w:sz="8" w:space="0" w:color="00B5E2" w:themeColor="accent1"/>
          <w:left w:val="single" w:sz="8" w:space="0" w:color="00B5E2" w:themeColor="accent1"/>
          <w:bottom w:val="single" w:sz="8" w:space="0" w:color="00B5E2" w:themeColor="accent1"/>
          <w:right w:val="single" w:sz="8" w:space="0" w:color="00B5E2" w:themeColor="accent1"/>
        </w:tcBorders>
        <w:shd w:val="clear" w:color="auto" w:fill="B8F0FF" w:themeFill="accent1" w:themeFillTint="3F"/>
      </w:tcPr>
    </w:tblStylePr>
    <w:tblStylePr w:type="band1Horz">
      <w:tblPr/>
      <w:tcPr>
        <w:tcBorders>
          <w:top w:val="single" w:sz="8" w:space="0" w:color="00B5E2" w:themeColor="accent1"/>
          <w:left w:val="single" w:sz="8" w:space="0" w:color="00B5E2" w:themeColor="accent1"/>
          <w:bottom w:val="single" w:sz="8" w:space="0" w:color="00B5E2" w:themeColor="accent1"/>
          <w:right w:val="single" w:sz="8" w:space="0" w:color="00B5E2" w:themeColor="accent1"/>
          <w:insideV w:val="single" w:sz="8" w:space="0" w:color="00B5E2" w:themeColor="accent1"/>
        </w:tcBorders>
        <w:shd w:val="clear" w:color="auto" w:fill="B8F0FF" w:themeFill="accent1" w:themeFillTint="3F"/>
      </w:tcPr>
    </w:tblStylePr>
    <w:tblStylePr w:type="band2Horz">
      <w:tblPr/>
      <w:tcPr>
        <w:tcBorders>
          <w:top w:val="single" w:sz="8" w:space="0" w:color="00B5E2" w:themeColor="accent1"/>
          <w:left w:val="single" w:sz="8" w:space="0" w:color="00B5E2" w:themeColor="accent1"/>
          <w:bottom w:val="single" w:sz="8" w:space="0" w:color="00B5E2" w:themeColor="accent1"/>
          <w:right w:val="single" w:sz="8" w:space="0" w:color="00B5E2" w:themeColor="accent1"/>
          <w:insideV w:val="single" w:sz="8" w:space="0" w:color="00B5E2" w:themeColor="accent1"/>
        </w:tcBorders>
      </w:tcPr>
    </w:tblStylePr>
  </w:style>
  <w:style w:type="table" w:styleId="LightGrid-Accent2">
    <w:name w:val="Light Grid Accent 2"/>
    <w:basedOn w:val="TableNormal"/>
    <w:uiPriority w:val="62"/>
    <w:semiHidden/>
    <w:unhideWhenUsed/>
    <w:rsid w:val="009E6ED7"/>
    <w:tblPr>
      <w:tblStyleRowBandSize w:val="1"/>
      <w:tblStyleColBandSize w:val="1"/>
      <w:tblBorders>
        <w:top w:val="single" w:sz="8" w:space="0" w:color="84BD00" w:themeColor="accent2"/>
        <w:left w:val="single" w:sz="8" w:space="0" w:color="84BD00" w:themeColor="accent2"/>
        <w:bottom w:val="single" w:sz="8" w:space="0" w:color="84BD00" w:themeColor="accent2"/>
        <w:right w:val="single" w:sz="8" w:space="0" w:color="84BD00" w:themeColor="accent2"/>
        <w:insideH w:val="single" w:sz="8" w:space="0" w:color="84BD00" w:themeColor="accent2"/>
        <w:insideV w:val="single" w:sz="8" w:space="0" w:color="84BD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4BD00" w:themeColor="accent2"/>
          <w:left w:val="single" w:sz="8" w:space="0" w:color="84BD00" w:themeColor="accent2"/>
          <w:bottom w:val="single" w:sz="18" w:space="0" w:color="84BD00" w:themeColor="accent2"/>
          <w:right w:val="single" w:sz="8" w:space="0" w:color="84BD00" w:themeColor="accent2"/>
          <w:insideH w:val="nil"/>
          <w:insideV w:val="single" w:sz="8" w:space="0" w:color="84BD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4BD00" w:themeColor="accent2"/>
          <w:left w:val="single" w:sz="8" w:space="0" w:color="84BD00" w:themeColor="accent2"/>
          <w:bottom w:val="single" w:sz="8" w:space="0" w:color="84BD00" w:themeColor="accent2"/>
          <w:right w:val="single" w:sz="8" w:space="0" w:color="84BD00" w:themeColor="accent2"/>
          <w:insideH w:val="nil"/>
          <w:insideV w:val="single" w:sz="8" w:space="0" w:color="84BD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4BD00" w:themeColor="accent2"/>
          <w:left w:val="single" w:sz="8" w:space="0" w:color="84BD00" w:themeColor="accent2"/>
          <w:bottom w:val="single" w:sz="8" w:space="0" w:color="84BD00" w:themeColor="accent2"/>
          <w:right w:val="single" w:sz="8" w:space="0" w:color="84BD00" w:themeColor="accent2"/>
        </w:tcBorders>
      </w:tcPr>
    </w:tblStylePr>
    <w:tblStylePr w:type="band1Vert">
      <w:tblPr/>
      <w:tcPr>
        <w:tcBorders>
          <w:top w:val="single" w:sz="8" w:space="0" w:color="84BD00" w:themeColor="accent2"/>
          <w:left w:val="single" w:sz="8" w:space="0" w:color="84BD00" w:themeColor="accent2"/>
          <w:bottom w:val="single" w:sz="8" w:space="0" w:color="84BD00" w:themeColor="accent2"/>
          <w:right w:val="single" w:sz="8" w:space="0" w:color="84BD00" w:themeColor="accent2"/>
        </w:tcBorders>
        <w:shd w:val="clear" w:color="auto" w:fill="E7FFAF" w:themeFill="accent2" w:themeFillTint="3F"/>
      </w:tcPr>
    </w:tblStylePr>
    <w:tblStylePr w:type="band1Horz">
      <w:tblPr/>
      <w:tcPr>
        <w:tcBorders>
          <w:top w:val="single" w:sz="8" w:space="0" w:color="84BD00" w:themeColor="accent2"/>
          <w:left w:val="single" w:sz="8" w:space="0" w:color="84BD00" w:themeColor="accent2"/>
          <w:bottom w:val="single" w:sz="8" w:space="0" w:color="84BD00" w:themeColor="accent2"/>
          <w:right w:val="single" w:sz="8" w:space="0" w:color="84BD00" w:themeColor="accent2"/>
          <w:insideV w:val="single" w:sz="8" w:space="0" w:color="84BD00" w:themeColor="accent2"/>
        </w:tcBorders>
        <w:shd w:val="clear" w:color="auto" w:fill="E7FFAF" w:themeFill="accent2" w:themeFillTint="3F"/>
      </w:tcPr>
    </w:tblStylePr>
    <w:tblStylePr w:type="band2Horz">
      <w:tblPr/>
      <w:tcPr>
        <w:tcBorders>
          <w:top w:val="single" w:sz="8" w:space="0" w:color="84BD00" w:themeColor="accent2"/>
          <w:left w:val="single" w:sz="8" w:space="0" w:color="84BD00" w:themeColor="accent2"/>
          <w:bottom w:val="single" w:sz="8" w:space="0" w:color="84BD00" w:themeColor="accent2"/>
          <w:right w:val="single" w:sz="8" w:space="0" w:color="84BD00" w:themeColor="accent2"/>
          <w:insideV w:val="single" w:sz="8" w:space="0" w:color="84BD00" w:themeColor="accent2"/>
        </w:tcBorders>
      </w:tcPr>
    </w:tblStylePr>
  </w:style>
  <w:style w:type="table" w:styleId="LightGrid-Accent3">
    <w:name w:val="Light Grid Accent 3"/>
    <w:basedOn w:val="TableNormal"/>
    <w:uiPriority w:val="62"/>
    <w:semiHidden/>
    <w:unhideWhenUsed/>
    <w:rsid w:val="009E6ED7"/>
    <w:tblPr>
      <w:tblStyleRowBandSize w:val="1"/>
      <w:tblStyleColBandSize w:val="1"/>
      <w:tblBorders>
        <w:top w:val="single" w:sz="8" w:space="0" w:color="F68B1F" w:themeColor="accent3"/>
        <w:left w:val="single" w:sz="8" w:space="0" w:color="F68B1F" w:themeColor="accent3"/>
        <w:bottom w:val="single" w:sz="8" w:space="0" w:color="F68B1F" w:themeColor="accent3"/>
        <w:right w:val="single" w:sz="8" w:space="0" w:color="F68B1F" w:themeColor="accent3"/>
        <w:insideH w:val="single" w:sz="8" w:space="0" w:color="F68B1F" w:themeColor="accent3"/>
        <w:insideV w:val="single" w:sz="8" w:space="0" w:color="F68B1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68B1F" w:themeColor="accent3"/>
          <w:left w:val="single" w:sz="8" w:space="0" w:color="F68B1F" w:themeColor="accent3"/>
          <w:bottom w:val="single" w:sz="18" w:space="0" w:color="F68B1F" w:themeColor="accent3"/>
          <w:right w:val="single" w:sz="8" w:space="0" w:color="F68B1F" w:themeColor="accent3"/>
          <w:insideH w:val="nil"/>
          <w:insideV w:val="single" w:sz="8" w:space="0" w:color="F68B1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68B1F" w:themeColor="accent3"/>
          <w:left w:val="single" w:sz="8" w:space="0" w:color="F68B1F" w:themeColor="accent3"/>
          <w:bottom w:val="single" w:sz="8" w:space="0" w:color="F68B1F" w:themeColor="accent3"/>
          <w:right w:val="single" w:sz="8" w:space="0" w:color="F68B1F" w:themeColor="accent3"/>
          <w:insideH w:val="nil"/>
          <w:insideV w:val="single" w:sz="8" w:space="0" w:color="F68B1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68B1F" w:themeColor="accent3"/>
          <w:left w:val="single" w:sz="8" w:space="0" w:color="F68B1F" w:themeColor="accent3"/>
          <w:bottom w:val="single" w:sz="8" w:space="0" w:color="F68B1F" w:themeColor="accent3"/>
          <w:right w:val="single" w:sz="8" w:space="0" w:color="F68B1F" w:themeColor="accent3"/>
        </w:tcBorders>
      </w:tcPr>
    </w:tblStylePr>
    <w:tblStylePr w:type="band1Vert">
      <w:tblPr/>
      <w:tcPr>
        <w:tcBorders>
          <w:top w:val="single" w:sz="8" w:space="0" w:color="F68B1F" w:themeColor="accent3"/>
          <w:left w:val="single" w:sz="8" w:space="0" w:color="F68B1F" w:themeColor="accent3"/>
          <w:bottom w:val="single" w:sz="8" w:space="0" w:color="F68B1F" w:themeColor="accent3"/>
          <w:right w:val="single" w:sz="8" w:space="0" w:color="F68B1F" w:themeColor="accent3"/>
        </w:tcBorders>
        <w:shd w:val="clear" w:color="auto" w:fill="FCE2C7" w:themeFill="accent3" w:themeFillTint="3F"/>
      </w:tcPr>
    </w:tblStylePr>
    <w:tblStylePr w:type="band1Horz">
      <w:tblPr/>
      <w:tcPr>
        <w:tcBorders>
          <w:top w:val="single" w:sz="8" w:space="0" w:color="F68B1F" w:themeColor="accent3"/>
          <w:left w:val="single" w:sz="8" w:space="0" w:color="F68B1F" w:themeColor="accent3"/>
          <w:bottom w:val="single" w:sz="8" w:space="0" w:color="F68B1F" w:themeColor="accent3"/>
          <w:right w:val="single" w:sz="8" w:space="0" w:color="F68B1F" w:themeColor="accent3"/>
          <w:insideV w:val="single" w:sz="8" w:space="0" w:color="F68B1F" w:themeColor="accent3"/>
        </w:tcBorders>
        <w:shd w:val="clear" w:color="auto" w:fill="FCE2C7" w:themeFill="accent3" w:themeFillTint="3F"/>
      </w:tcPr>
    </w:tblStylePr>
    <w:tblStylePr w:type="band2Horz">
      <w:tblPr/>
      <w:tcPr>
        <w:tcBorders>
          <w:top w:val="single" w:sz="8" w:space="0" w:color="F68B1F" w:themeColor="accent3"/>
          <w:left w:val="single" w:sz="8" w:space="0" w:color="F68B1F" w:themeColor="accent3"/>
          <w:bottom w:val="single" w:sz="8" w:space="0" w:color="F68B1F" w:themeColor="accent3"/>
          <w:right w:val="single" w:sz="8" w:space="0" w:color="F68B1F" w:themeColor="accent3"/>
          <w:insideV w:val="single" w:sz="8" w:space="0" w:color="F68B1F" w:themeColor="accent3"/>
        </w:tcBorders>
      </w:tcPr>
    </w:tblStylePr>
  </w:style>
  <w:style w:type="table" w:styleId="LightGrid-Accent4">
    <w:name w:val="Light Grid Accent 4"/>
    <w:basedOn w:val="TableNormal"/>
    <w:uiPriority w:val="62"/>
    <w:semiHidden/>
    <w:unhideWhenUsed/>
    <w:rsid w:val="009E6ED7"/>
    <w:tblPr>
      <w:tblStyleRowBandSize w:val="1"/>
      <w:tblStyleColBandSize w:val="1"/>
      <w:tblBorders>
        <w:top w:val="single" w:sz="8" w:space="0" w:color="9E007E" w:themeColor="accent4"/>
        <w:left w:val="single" w:sz="8" w:space="0" w:color="9E007E" w:themeColor="accent4"/>
        <w:bottom w:val="single" w:sz="8" w:space="0" w:color="9E007E" w:themeColor="accent4"/>
        <w:right w:val="single" w:sz="8" w:space="0" w:color="9E007E" w:themeColor="accent4"/>
        <w:insideH w:val="single" w:sz="8" w:space="0" w:color="9E007E" w:themeColor="accent4"/>
        <w:insideV w:val="single" w:sz="8" w:space="0" w:color="9E007E"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E007E" w:themeColor="accent4"/>
          <w:left w:val="single" w:sz="8" w:space="0" w:color="9E007E" w:themeColor="accent4"/>
          <w:bottom w:val="single" w:sz="18" w:space="0" w:color="9E007E" w:themeColor="accent4"/>
          <w:right w:val="single" w:sz="8" w:space="0" w:color="9E007E" w:themeColor="accent4"/>
          <w:insideH w:val="nil"/>
          <w:insideV w:val="single" w:sz="8" w:space="0" w:color="9E007E"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E007E" w:themeColor="accent4"/>
          <w:left w:val="single" w:sz="8" w:space="0" w:color="9E007E" w:themeColor="accent4"/>
          <w:bottom w:val="single" w:sz="8" w:space="0" w:color="9E007E" w:themeColor="accent4"/>
          <w:right w:val="single" w:sz="8" w:space="0" w:color="9E007E" w:themeColor="accent4"/>
          <w:insideH w:val="nil"/>
          <w:insideV w:val="single" w:sz="8" w:space="0" w:color="9E007E"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E007E" w:themeColor="accent4"/>
          <w:left w:val="single" w:sz="8" w:space="0" w:color="9E007E" w:themeColor="accent4"/>
          <w:bottom w:val="single" w:sz="8" w:space="0" w:color="9E007E" w:themeColor="accent4"/>
          <w:right w:val="single" w:sz="8" w:space="0" w:color="9E007E" w:themeColor="accent4"/>
        </w:tcBorders>
      </w:tcPr>
    </w:tblStylePr>
    <w:tblStylePr w:type="band1Vert">
      <w:tblPr/>
      <w:tcPr>
        <w:tcBorders>
          <w:top w:val="single" w:sz="8" w:space="0" w:color="9E007E" w:themeColor="accent4"/>
          <w:left w:val="single" w:sz="8" w:space="0" w:color="9E007E" w:themeColor="accent4"/>
          <w:bottom w:val="single" w:sz="8" w:space="0" w:color="9E007E" w:themeColor="accent4"/>
          <w:right w:val="single" w:sz="8" w:space="0" w:color="9E007E" w:themeColor="accent4"/>
        </w:tcBorders>
        <w:shd w:val="clear" w:color="auto" w:fill="FFA8ED" w:themeFill="accent4" w:themeFillTint="3F"/>
      </w:tcPr>
    </w:tblStylePr>
    <w:tblStylePr w:type="band1Horz">
      <w:tblPr/>
      <w:tcPr>
        <w:tcBorders>
          <w:top w:val="single" w:sz="8" w:space="0" w:color="9E007E" w:themeColor="accent4"/>
          <w:left w:val="single" w:sz="8" w:space="0" w:color="9E007E" w:themeColor="accent4"/>
          <w:bottom w:val="single" w:sz="8" w:space="0" w:color="9E007E" w:themeColor="accent4"/>
          <w:right w:val="single" w:sz="8" w:space="0" w:color="9E007E" w:themeColor="accent4"/>
          <w:insideV w:val="single" w:sz="8" w:space="0" w:color="9E007E" w:themeColor="accent4"/>
        </w:tcBorders>
        <w:shd w:val="clear" w:color="auto" w:fill="FFA8ED" w:themeFill="accent4" w:themeFillTint="3F"/>
      </w:tcPr>
    </w:tblStylePr>
    <w:tblStylePr w:type="band2Horz">
      <w:tblPr/>
      <w:tcPr>
        <w:tcBorders>
          <w:top w:val="single" w:sz="8" w:space="0" w:color="9E007E" w:themeColor="accent4"/>
          <w:left w:val="single" w:sz="8" w:space="0" w:color="9E007E" w:themeColor="accent4"/>
          <w:bottom w:val="single" w:sz="8" w:space="0" w:color="9E007E" w:themeColor="accent4"/>
          <w:right w:val="single" w:sz="8" w:space="0" w:color="9E007E" w:themeColor="accent4"/>
          <w:insideV w:val="single" w:sz="8" w:space="0" w:color="9E007E" w:themeColor="accent4"/>
        </w:tcBorders>
      </w:tcPr>
    </w:tblStylePr>
  </w:style>
  <w:style w:type="table" w:styleId="LightGrid-Accent5">
    <w:name w:val="Light Grid Accent 5"/>
    <w:basedOn w:val="TableNormal"/>
    <w:uiPriority w:val="62"/>
    <w:semiHidden/>
    <w:unhideWhenUsed/>
    <w:rsid w:val="009E6ED7"/>
    <w:tblPr>
      <w:tblStyleRowBandSize w:val="1"/>
      <w:tblStyleColBandSize w:val="1"/>
      <w:tblBorders>
        <w:top w:val="single" w:sz="8" w:space="0" w:color="FFE512" w:themeColor="accent5"/>
        <w:left w:val="single" w:sz="8" w:space="0" w:color="FFE512" w:themeColor="accent5"/>
        <w:bottom w:val="single" w:sz="8" w:space="0" w:color="FFE512" w:themeColor="accent5"/>
        <w:right w:val="single" w:sz="8" w:space="0" w:color="FFE512" w:themeColor="accent5"/>
        <w:insideH w:val="single" w:sz="8" w:space="0" w:color="FFE512" w:themeColor="accent5"/>
        <w:insideV w:val="single" w:sz="8" w:space="0" w:color="FFE512"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E512" w:themeColor="accent5"/>
          <w:left w:val="single" w:sz="8" w:space="0" w:color="FFE512" w:themeColor="accent5"/>
          <w:bottom w:val="single" w:sz="18" w:space="0" w:color="FFE512" w:themeColor="accent5"/>
          <w:right w:val="single" w:sz="8" w:space="0" w:color="FFE512" w:themeColor="accent5"/>
          <w:insideH w:val="nil"/>
          <w:insideV w:val="single" w:sz="8" w:space="0" w:color="FFE512"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E512" w:themeColor="accent5"/>
          <w:left w:val="single" w:sz="8" w:space="0" w:color="FFE512" w:themeColor="accent5"/>
          <w:bottom w:val="single" w:sz="8" w:space="0" w:color="FFE512" w:themeColor="accent5"/>
          <w:right w:val="single" w:sz="8" w:space="0" w:color="FFE512" w:themeColor="accent5"/>
          <w:insideH w:val="nil"/>
          <w:insideV w:val="single" w:sz="8" w:space="0" w:color="FFE512"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E512" w:themeColor="accent5"/>
          <w:left w:val="single" w:sz="8" w:space="0" w:color="FFE512" w:themeColor="accent5"/>
          <w:bottom w:val="single" w:sz="8" w:space="0" w:color="FFE512" w:themeColor="accent5"/>
          <w:right w:val="single" w:sz="8" w:space="0" w:color="FFE512" w:themeColor="accent5"/>
        </w:tcBorders>
      </w:tcPr>
    </w:tblStylePr>
    <w:tblStylePr w:type="band1Vert">
      <w:tblPr/>
      <w:tcPr>
        <w:tcBorders>
          <w:top w:val="single" w:sz="8" w:space="0" w:color="FFE512" w:themeColor="accent5"/>
          <w:left w:val="single" w:sz="8" w:space="0" w:color="FFE512" w:themeColor="accent5"/>
          <w:bottom w:val="single" w:sz="8" w:space="0" w:color="FFE512" w:themeColor="accent5"/>
          <w:right w:val="single" w:sz="8" w:space="0" w:color="FFE512" w:themeColor="accent5"/>
        </w:tcBorders>
        <w:shd w:val="clear" w:color="auto" w:fill="FFF8C4" w:themeFill="accent5" w:themeFillTint="3F"/>
      </w:tcPr>
    </w:tblStylePr>
    <w:tblStylePr w:type="band1Horz">
      <w:tblPr/>
      <w:tcPr>
        <w:tcBorders>
          <w:top w:val="single" w:sz="8" w:space="0" w:color="FFE512" w:themeColor="accent5"/>
          <w:left w:val="single" w:sz="8" w:space="0" w:color="FFE512" w:themeColor="accent5"/>
          <w:bottom w:val="single" w:sz="8" w:space="0" w:color="FFE512" w:themeColor="accent5"/>
          <w:right w:val="single" w:sz="8" w:space="0" w:color="FFE512" w:themeColor="accent5"/>
          <w:insideV w:val="single" w:sz="8" w:space="0" w:color="FFE512" w:themeColor="accent5"/>
        </w:tcBorders>
        <w:shd w:val="clear" w:color="auto" w:fill="FFF8C4" w:themeFill="accent5" w:themeFillTint="3F"/>
      </w:tcPr>
    </w:tblStylePr>
    <w:tblStylePr w:type="band2Horz">
      <w:tblPr/>
      <w:tcPr>
        <w:tcBorders>
          <w:top w:val="single" w:sz="8" w:space="0" w:color="FFE512" w:themeColor="accent5"/>
          <w:left w:val="single" w:sz="8" w:space="0" w:color="FFE512" w:themeColor="accent5"/>
          <w:bottom w:val="single" w:sz="8" w:space="0" w:color="FFE512" w:themeColor="accent5"/>
          <w:right w:val="single" w:sz="8" w:space="0" w:color="FFE512" w:themeColor="accent5"/>
          <w:insideV w:val="single" w:sz="8" w:space="0" w:color="FFE512" w:themeColor="accent5"/>
        </w:tcBorders>
      </w:tcPr>
    </w:tblStylePr>
  </w:style>
  <w:style w:type="table" w:styleId="LightGrid-Accent6">
    <w:name w:val="Light Grid Accent 6"/>
    <w:basedOn w:val="TableNormal"/>
    <w:uiPriority w:val="62"/>
    <w:semiHidden/>
    <w:unhideWhenUsed/>
    <w:rsid w:val="009E6ED7"/>
    <w:tblPr>
      <w:tblStyleRowBandSize w:val="1"/>
      <w:tblStyleColBandSize w:val="1"/>
      <w:tblBorders>
        <w:top w:val="single" w:sz="8" w:space="0" w:color="8C8279" w:themeColor="accent6"/>
        <w:left w:val="single" w:sz="8" w:space="0" w:color="8C8279" w:themeColor="accent6"/>
        <w:bottom w:val="single" w:sz="8" w:space="0" w:color="8C8279" w:themeColor="accent6"/>
        <w:right w:val="single" w:sz="8" w:space="0" w:color="8C8279" w:themeColor="accent6"/>
        <w:insideH w:val="single" w:sz="8" w:space="0" w:color="8C8279" w:themeColor="accent6"/>
        <w:insideV w:val="single" w:sz="8" w:space="0" w:color="8C827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C8279" w:themeColor="accent6"/>
          <w:left w:val="single" w:sz="8" w:space="0" w:color="8C8279" w:themeColor="accent6"/>
          <w:bottom w:val="single" w:sz="18" w:space="0" w:color="8C8279" w:themeColor="accent6"/>
          <w:right w:val="single" w:sz="8" w:space="0" w:color="8C8279" w:themeColor="accent6"/>
          <w:insideH w:val="nil"/>
          <w:insideV w:val="single" w:sz="8" w:space="0" w:color="8C827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C8279" w:themeColor="accent6"/>
          <w:left w:val="single" w:sz="8" w:space="0" w:color="8C8279" w:themeColor="accent6"/>
          <w:bottom w:val="single" w:sz="8" w:space="0" w:color="8C8279" w:themeColor="accent6"/>
          <w:right w:val="single" w:sz="8" w:space="0" w:color="8C8279" w:themeColor="accent6"/>
          <w:insideH w:val="nil"/>
          <w:insideV w:val="single" w:sz="8" w:space="0" w:color="8C827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C8279" w:themeColor="accent6"/>
          <w:left w:val="single" w:sz="8" w:space="0" w:color="8C8279" w:themeColor="accent6"/>
          <w:bottom w:val="single" w:sz="8" w:space="0" w:color="8C8279" w:themeColor="accent6"/>
          <w:right w:val="single" w:sz="8" w:space="0" w:color="8C8279" w:themeColor="accent6"/>
        </w:tcBorders>
      </w:tcPr>
    </w:tblStylePr>
    <w:tblStylePr w:type="band1Vert">
      <w:tblPr/>
      <w:tcPr>
        <w:tcBorders>
          <w:top w:val="single" w:sz="8" w:space="0" w:color="8C8279" w:themeColor="accent6"/>
          <w:left w:val="single" w:sz="8" w:space="0" w:color="8C8279" w:themeColor="accent6"/>
          <w:bottom w:val="single" w:sz="8" w:space="0" w:color="8C8279" w:themeColor="accent6"/>
          <w:right w:val="single" w:sz="8" w:space="0" w:color="8C8279" w:themeColor="accent6"/>
        </w:tcBorders>
        <w:shd w:val="clear" w:color="auto" w:fill="E2E0DD" w:themeFill="accent6" w:themeFillTint="3F"/>
      </w:tcPr>
    </w:tblStylePr>
    <w:tblStylePr w:type="band1Horz">
      <w:tblPr/>
      <w:tcPr>
        <w:tcBorders>
          <w:top w:val="single" w:sz="8" w:space="0" w:color="8C8279" w:themeColor="accent6"/>
          <w:left w:val="single" w:sz="8" w:space="0" w:color="8C8279" w:themeColor="accent6"/>
          <w:bottom w:val="single" w:sz="8" w:space="0" w:color="8C8279" w:themeColor="accent6"/>
          <w:right w:val="single" w:sz="8" w:space="0" w:color="8C8279" w:themeColor="accent6"/>
          <w:insideV w:val="single" w:sz="8" w:space="0" w:color="8C8279" w:themeColor="accent6"/>
        </w:tcBorders>
        <w:shd w:val="clear" w:color="auto" w:fill="E2E0DD" w:themeFill="accent6" w:themeFillTint="3F"/>
      </w:tcPr>
    </w:tblStylePr>
    <w:tblStylePr w:type="band2Horz">
      <w:tblPr/>
      <w:tcPr>
        <w:tcBorders>
          <w:top w:val="single" w:sz="8" w:space="0" w:color="8C8279" w:themeColor="accent6"/>
          <w:left w:val="single" w:sz="8" w:space="0" w:color="8C8279" w:themeColor="accent6"/>
          <w:bottom w:val="single" w:sz="8" w:space="0" w:color="8C8279" w:themeColor="accent6"/>
          <w:right w:val="single" w:sz="8" w:space="0" w:color="8C8279" w:themeColor="accent6"/>
          <w:insideV w:val="single" w:sz="8" w:space="0" w:color="8C8279" w:themeColor="accent6"/>
        </w:tcBorders>
      </w:tcPr>
    </w:tblStylePr>
  </w:style>
  <w:style w:type="table" w:styleId="LightList">
    <w:name w:val="Light List"/>
    <w:basedOn w:val="TableNormal"/>
    <w:uiPriority w:val="61"/>
    <w:semiHidden/>
    <w:unhideWhenUsed/>
    <w:rsid w:val="009E6ED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9E6ED7"/>
    <w:tblPr>
      <w:tblStyleRowBandSize w:val="1"/>
      <w:tblStyleColBandSize w:val="1"/>
      <w:tblBorders>
        <w:top w:val="single" w:sz="8" w:space="0" w:color="00B5E2" w:themeColor="accent1"/>
        <w:left w:val="single" w:sz="8" w:space="0" w:color="00B5E2" w:themeColor="accent1"/>
        <w:bottom w:val="single" w:sz="8" w:space="0" w:color="00B5E2" w:themeColor="accent1"/>
        <w:right w:val="single" w:sz="8" w:space="0" w:color="00B5E2" w:themeColor="accent1"/>
      </w:tblBorders>
    </w:tblPr>
    <w:tblStylePr w:type="firstRow">
      <w:pPr>
        <w:spacing w:before="0" w:after="0" w:line="240" w:lineRule="auto"/>
      </w:pPr>
      <w:rPr>
        <w:b/>
        <w:bCs/>
        <w:color w:val="FFFFFF" w:themeColor="background1"/>
      </w:rPr>
      <w:tblPr/>
      <w:tcPr>
        <w:shd w:val="clear" w:color="auto" w:fill="00B5E2" w:themeFill="accent1"/>
      </w:tcPr>
    </w:tblStylePr>
    <w:tblStylePr w:type="lastRow">
      <w:pPr>
        <w:spacing w:before="0" w:after="0" w:line="240" w:lineRule="auto"/>
      </w:pPr>
      <w:rPr>
        <w:b/>
        <w:bCs/>
      </w:rPr>
      <w:tblPr/>
      <w:tcPr>
        <w:tcBorders>
          <w:top w:val="double" w:sz="6" w:space="0" w:color="00B5E2" w:themeColor="accent1"/>
          <w:left w:val="single" w:sz="8" w:space="0" w:color="00B5E2" w:themeColor="accent1"/>
          <w:bottom w:val="single" w:sz="8" w:space="0" w:color="00B5E2" w:themeColor="accent1"/>
          <w:right w:val="single" w:sz="8" w:space="0" w:color="00B5E2" w:themeColor="accent1"/>
        </w:tcBorders>
      </w:tcPr>
    </w:tblStylePr>
    <w:tblStylePr w:type="firstCol">
      <w:rPr>
        <w:b/>
        <w:bCs/>
      </w:rPr>
    </w:tblStylePr>
    <w:tblStylePr w:type="lastCol">
      <w:rPr>
        <w:b/>
        <w:bCs/>
      </w:rPr>
    </w:tblStylePr>
    <w:tblStylePr w:type="band1Vert">
      <w:tblPr/>
      <w:tcPr>
        <w:tcBorders>
          <w:top w:val="single" w:sz="8" w:space="0" w:color="00B5E2" w:themeColor="accent1"/>
          <w:left w:val="single" w:sz="8" w:space="0" w:color="00B5E2" w:themeColor="accent1"/>
          <w:bottom w:val="single" w:sz="8" w:space="0" w:color="00B5E2" w:themeColor="accent1"/>
          <w:right w:val="single" w:sz="8" w:space="0" w:color="00B5E2" w:themeColor="accent1"/>
        </w:tcBorders>
      </w:tcPr>
    </w:tblStylePr>
    <w:tblStylePr w:type="band1Horz">
      <w:tblPr/>
      <w:tcPr>
        <w:tcBorders>
          <w:top w:val="single" w:sz="8" w:space="0" w:color="00B5E2" w:themeColor="accent1"/>
          <w:left w:val="single" w:sz="8" w:space="0" w:color="00B5E2" w:themeColor="accent1"/>
          <w:bottom w:val="single" w:sz="8" w:space="0" w:color="00B5E2" w:themeColor="accent1"/>
          <w:right w:val="single" w:sz="8" w:space="0" w:color="00B5E2" w:themeColor="accent1"/>
        </w:tcBorders>
      </w:tcPr>
    </w:tblStylePr>
  </w:style>
  <w:style w:type="table" w:styleId="LightList-Accent2">
    <w:name w:val="Light List Accent 2"/>
    <w:basedOn w:val="TableNormal"/>
    <w:uiPriority w:val="61"/>
    <w:semiHidden/>
    <w:unhideWhenUsed/>
    <w:rsid w:val="009E6ED7"/>
    <w:tblPr>
      <w:tblStyleRowBandSize w:val="1"/>
      <w:tblStyleColBandSize w:val="1"/>
      <w:tblBorders>
        <w:top w:val="single" w:sz="8" w:space="0" w:color="84BD00" w:themeColor="accent2"/>
        <w:left w:val="single" w:sz="8" w:space="0" w:color="84BD00" w:themeColor="accent2"/>
        <w:bottom w:val="single" w:sz="8" w:space="0" w:color="84BD00" w:themeColor="accent2"/>
        <w:right w:val="single" w:sz="8" w:space="0" w:color="84BD00" w:themeColor="accent2"/>
      </w:tblBorders>
    </w:tblPr>
    <w:tblStylePr w:type="firstRow">
      <w:pPr>
        <w:spacing w:before="0" w:after="0" w:line="240" w:lineRule="auto"/>
      </w:pPr>
      <w:rPr>
        <w:b/>
        <w:bCs/>
        <w:color w:val="FFFFFF" w:themeColor="background1"/>
      </w:rPr>
      <w:tblPr/>
      <w:tcPr>
        <w:shd w:val="clear" w:color="auto" w:fill="84BD00" w:themeFill="accent2"/>
      </w:tcPr>
    </w:tblStylePr>
    <w:tblStylePr w:type="lastRow">
      <w:pPr>
        <w:spacing w:before="0" w:after="0" w:line="240" w:lineRule="auto"/>
      </w:pPr>
      <w:rPr>
        <w:b/>
        <w:bCs/>
      </w:rPr>
      <w:tblPr/>
      <w:tcPr>
        <w:tcBorders>
          <w:top w:val="double" w:sz="6" w:space="0" w:color="84BD00" w:themeColor="accent2"/>
          <w:left w:val="single" w:sz="8" w:space="0" w:color="84BD00" w:themeColor="accent2"/>
          <w:bottom w:val="single" w:sz="8" w:space="0" w:color="84BD00" w:themeColor="accent2"/>
          <w:right w:val="single" w:sz="8" w:space="0" w:color="84BD00" w:themeColor="accent2"/>
        </w:tcBorders>
      </w:tcPr>
    </w:tblStylePr>
    <w:tblStylePr w:type="firstCol">
      <w:rPr>
        <w:b/>
        <w:bCs/>
      </w:rPr>
    </w:tblStylePr>
    <w:tblStylePr w:type="lastCol">
      <w:rPr>
        <w:b/>
        <w:bCs/>
      </w:rPr>
    </w:tblStylePr>
    <w:tblStylePr w:type="band1Vert">
      <w:tblPr/>
      <w:tcPr>
        <w:tcBorders>
          <w:top w:val="single" w:sz="8" w:space="0" w:color="84BD00" w:themeColor="accent2"/>
          <w:left w:val="single" w:sz="8" w:space="0" w:color="84BD00" w:themeColor="accent2"/>
          <w:bottom w:val="single" w:sz="8" w:space="0" w:color="84BD00" w:themeColor="accent2"/>
          <w:right w:val="single" w:sz="8" w:space="0" w:color="84BD00" w:themeColor="accent2"/>
        </w:tcBorders>
      </w:tcPr>
    </w:tblStylePr>
    <w:tblStylePr w:type="band1Horz">
      <w:tblPr/>
      <w:tcPr>
        <w:tcBorders>
          <w:top w:val="single" w:sz="8" w:space="0" w:color="84BD00" w:themeColor="accent2"/>
          <w:left w:val="single" w:sz="8" w:space="0" w:color="84BD00" w:themeColor="accent2"/>
          <w:bottom w:val="single" w:sz="8" w:space="0" w:color="84BD00" w:themeColor="accent2"/>
          <w:right w:val="single" w:sz="8" w:space="0" w:color="84BD00" w:themeColor="accent2"/>
        </w:tcBorders>
      </w:tcPr>
    </w:tblStylePr>
  </w:style>
  <w:style w:type="table" w:styleId="LightList-Accent3">
    <w:name w:val="Light List Accent 3"/>
    <w:basedOn w:val="TableNormal"/>
    <w:uiPriority w:val="61"/>
    <w:semiHidden/>
    <w:unhideWhenUsed/>
    <w:rsid w:val="009E6ED7"/>
    <w:tblPr>
      <w:tblStyleRowBandSize w:val="1"/>
      <w:tblStyleColBandSize w:val="1"/>
      <w:tblBorders>
        <w:top w:val="single" w:sz="8" w:space="0" w:color="F68B1F" w:themeColor="accent3"/>
        <w:left w:val="single" w:sz="8" w:space="0" w:color="F68B1F" w:themeColor="accent3"/>
        <w:bottom w:val="single" w:sz="8" w:space="0" w:color="F68B1F" w:themeColor="accent3"/>
        <w:right w:val="single" w:sz="8" w:space="0" w:color="F68B1F" w:themeColor="accent3"/>
      </w:tblBorders>
    </w:tblPr>
    <w:tblStylePr w:type="firstRow">
      <w:pPr>
        <w:spacing w:before="0" w:after="0" w:line="240" w:lineRule="auto"/>
      </w:pPr>
      <w:rPr>
        <w:b/>
        <w:bCs/>
        <w:color w:val="FFFFFF" w:themeColor="background1"/>
      </w:rPr>
      <w:tblPr/>
      <w:tcPr>
        <w:shd w:val="clear" w:color="auto" w:fill="F68B1F" w:themeFill="accent3"/>
      </w:tcPr>
    </w:tblStylePr>
    <w:tblStylePr w:type="lastRow">
      <w:pPr>
        <w:spacing w:before="0" w:after="0" w:line="240" w:lineRule="auto"/>
      </w:pPr>
      <w:rPr>
        <w:b/>
        <w:bCs/>
      </w:rPr>
      <w:tblPr/>
      <w:tcPr>
        <w:tcBorders>
          <w:top w:val="double" w:sz="6" w:space="0" w:color="F68B1F" w:themeColor="accent3"/>
          <w:left w:val="single" w:sz="8" w:space="0" w:color="F68B1F" w:themeColor="accent3"/>
          <w:bottom w:val="single" w:sz="8" w:space="0" w:color="F68B1F" w:themeColor="accent3"/>
          <w:right w:val="single" w:sz="8" w:space="0" w:color="F68B1F" w:themeColor="accent3"/>
        </w:tcBorders>
      </w:tcPr>
    </w:tblStylePr>
    <w:tblStylePr w:type="firstCol">
      <w:rPr>
        <w:b/>
        <w:bCs/>
      </w:rPr>
    </w:tblStylePr>
    <w:tblStylePr w:type="lastCol">
      <w:rPr>
        <w:b/>
        <w:bCs/>
      </w:rPr>
    </w:tblStylePr>
    <w:tblStylePr w:type="band1Vert">
      <w:tblPr/>
      <w:tcPr>
        <w:tcBorders>
          <w:top w:val="single" w:sz="8" w:space="0" w:color="F68B1F" w:themeColor="accent3"/>
          <w:left w:val="single" w:sz="8" w:space="0" w:color="F68B1F" w:themeColor="accent3"/>
          <w:bottom w:val="single" w:sz="8" w:space="0" w:color="F68B1F" w:themeColor="accent3"/>
          <w:right w:val="single" w:sz="8" w:space="0" w:color="F68B1F" w:themeColor="accent3"/>
        </w:tcBorders>
      </w:tcPr>
    </w:tblStylePr>
    <w:tblStylePr w:type="band1Horz">
      <w:tblPr/>
      <w:tcPr>
        <w:tcBorders>
          <w:top w:val="single" w:sz="8" w:space="0" w:color="F68B1F" w:themeColor="accent3"/>
          <w:left w:val="single" w:sz="8" w:space="0" w:color="F68B1F" w:themeColor="accent3"/>
          <w:bottom w:val="single" w:sz="8" w:space="0" w:color="F68B1F" w:themeColor="accent3"/>
          <w:right w:val="single" w:sz="8" w:space="0" w:color="F68B1F" w:themeColor="accent3"/>
        </w:tcBorders>
      </w:tcPr>
    </w:tblStylePr>
  </w:style>
  <w:style w:type="table" w:styleId="LightList-Accent4">
    <w:name w:val="Light List Accent 4"/>
    <w:basedOn w:val="TableNormal"/>
    <w:uiPriority w:val="61"/>
    <w:semiHidden/>
    <w:unhideWhenUsed/>
    <w:rsid w:val="009E6ED7"/>
    <w:tblPr>
      <w:tblStyleRowBandSize w:val="1"/>
      <w:tblStyleColBandSize w:val="1"/>
      <w:tblBorders>
        <w:top w:val="single" w:sz="8" w:space="0" w:color="9E007E" w:themeColor="accent4"/>
        <w:left w:val="single" w:sz="8" w:space="0" w:color="9E007E" w:themeColor="accent4"/>
        <w:bottom w:val="single" w:sz="8" w:space="0" w:color="9E007E" w:themeColor="accent4"/>
        <w:right w:val="single" w:sz="8" w:space="0" w:color="9E007E" w:themeColor="accent4"/>
      </w:tblBorders>
    </w:tblPr>
    <w:tblStylePr w:type="firstRow">
      <w:pPr>
        <w:spacing w:before="0" w:after="0" w:line="240" w:lineRule="auto"/>
      </w:pPr>
      <w:rPr>
        <w:b/>
        <w:bCs/>
        <w:color w:val="FFFFFF" w:themeColor="background1"/>
      </w:rPr>
      <w:tblPr/>
      <w:tcPr>
        <w:shd w:val="clear" w:color="auto" w:fill="9E007E" w:themeFill="accent4"/>
      </w:tcPr>
    </w:tblStylePr>
    <w:tblStylePr w:type="lastRow">
      <w:pPr>
        <w:spacing w:before="0" w:after="0" w:line="240" w:lineRule="auto"/>
      </w:pPr>
      <w:rPr>
        <w:b/>
        <w:bCs/>
      </w:rPr>
      <w:tblPr/>
      <w:tcPr>
        <w:tcBorders>
          <w:top w:val="double" w:sz="6" w:space="0" w:color="9E007E" w:themeColor="accent4"/>
          <w:left w:val="single" w:sz="8" w:space="0" w:color="9E007E" w:themeColor="accent4"/>
          <w:bottom w:val="single" w:sz="8" w:space="0" w:color="9E007E" w:themeColor="accent4"/>
          <w:right w:val="single" w:sz="8" w:space="0" w:color="9E007E" w:themeColor="accent4"/>
        </w:tcBorders>
      </w:tcPr>
    </w:tblStylePr>
    <w:tblStylePr w:type="firstCol">
      <w:rPr>
        <w:b/>
        <w:bCs/>
      </w:rPr>
    </w:tblStylePr>
    <w:tblStylePr w:type="lastCol">
      <w:rPr>
        <w:b/>
        <w:bCs/>
      </w:rPr>
    </w:tblStylePr>
    <w:tblStylePr w:type="band1Vert">
      <w:tblPr/>
      <w:tcPr>
        <w:tcBorders>
          <w:top w:val="single" w:sz="8" w:space="0" w:color="9E007E" w:themeColor="accent4"/>
          <w:left w:val="single" w:sz="8" w:space="0" w:color="9E007E" w:themeColor="accent4"/>
          <w:bottom w:val="single" w:sz="8" w:space="0" w:color="9E007E" w:themeColor="accent4"/>
          <w:right w:val="single" w:sz="8" w:space="0" w:color="9E007E" w:themeColor="accent4"/>
        </w:tcBorders>
      </w:tcPr>
    </w:tblStylePr>
    <w:tblStylePr w:type="band1Horz">
      <w:tblPr/>
      <w:tcPr>
        <w:tcBorders>
          <w:top w:val="single" w:sz="8" w:space="0" w:color="9E007E" w:themeColor="accent4"/>
          <w:left w:val="single" w:sz="8" w:space="0" w:color="9E007E" w:themeColor="accent4"/>
          <w:bottom w:val="single" w:sz="8" w:space="0" w:color="9E007E" w:themeColor="accent4"/>
          <w:right w:val="single" w:sz="8" w:space="0" w:color="9E007E" w:themeColor="accent4"/>
        </w:tcBorders>
      </w:tcPr>
    </w:tblStylePr>
  </w:style>
  <w:style w:type="table" w:styleId="LightList-Accent5">
    <w:name w:val="Light List Accent 5"/>
    <w:basedOn w:val="TableNormal"/>
    <w:uiPriority w:val="61"/>
    <w:semiHidden/>
    <w:unhideWhenUsed/>
    <w:rsid w:val="009E6ED7"/>
    <w:tblPr>
      <w:tblStyleRowBandSize w:val="1"/>
      <w:tblStyleColBandSize w:val="1"/>
      <w:tblBorders>
        <w:top w:val="single" w:sz="8" w:space="0" w:color="FFE512" w:themeColor="accent5"/>
        <w:left w:val="single" w:sz="8" w:space="0" w:color="FFE512" w:themeColor="accent5"/>
        <w:bottom w:val="single" w:sz="8" w:space="0" w:color="FFE512" w:themeColor="accent5"/>
        <w:right w:val="single" w:sz="8" w:space="0" w:color="FFE512" w:themeColor="accent5"/>
      </w:tblBorders>
    </w:tblPr>
    <w:tblStylePr w:type="firstRow">
      <w:pPr>
        <w:spacing w:before="0" w:after="0" w:line="240" w:lineRule="auto"/>
      </w:pPr>
      <w:rPr>
        <w:b/>
        <w:bCs/>
        <w:color w:val="FFFFFF" w:themeColor="background1"/>
      </w:rPr>
      <w:tblPr/>
      <w:tcPr>
        <w:shd w:val="clear" w:color="auto" w:fill="FFE512" w:themeFill="accent5"/>
      </w:tcPr>
    </w:tblStylePr>
    <w:tblStylePr w:type="lastRow">
      <w:pPr>
        <w:spacing w:before="0" w:after="0" w:line="240" w:lineRule="auto"/>
      </w:pPr>
      <w:rPr>
        <w:b/>
        <w:bCs/>
      </w:rPr>
      <w:tblPr/>
      <w:tcPr>
        <w:tcBorders>
          <w:top w:val="double" w:sz="6" w:space="0" w:color="FFE512" w:themeColor="accent5"/>
          <w:left w:val="single" w:sz="8" w:space="0" w:color="FFE512" w:themeColor="accent5"/>
          <w:bottom w:val="single" w:sz="8" w:space="0" w:color="FFE512" w:themeColor="accent5"/>
          <w:right w:val="single" w:sz="8" w:space="0" w:color="FFE512" w:themeColor="accent5"/>
        </w:tcBorders>
      </w:tcPr>
    </w:tblStylePr>
    <w:tblStylePr w:type="firstCol">
      <w:rPr>
        <w:b/>
        <w:bCs/>
      </w:rPr>
    </w:tblStylePr>
    <w:tblStylePr w:type="lastCol">
      <w:rPr>
        <w:b/>
        <w:bCs/>
      </w:rPr>
    </w:tblStylePr>
    <w:tblStylePr w:type="band1Vert">
      <w:tblPr/>
      <w:tcPr>
        <w:tcBorders>
          <w:top w:val="single" w:sz="8" w:space="0" w:color="FFE512" w:themeColor="accent5"/>
          <w:left w:val="single" w:sz="8" w:space="0" w:color="FFE512" w:themeColor="accent5"/>
          <w:bottom w:val="single" w:sz="8" w:space="0" w:color="FFE512" w:themeColor="accent5"/>
          <w:right w:val="single" w:sz="8" w:space="0" w:color="FFE512" w:themeColor="accent5"/>
        </w:tcBorders>
      </w:tcPr>
    </w:tblStylePr>
    <w:tblStylePr w:type="band1Horz">
      <w:tblPr/>
      <w:tcPr>
        <w:tcBorders>
          <w:top w:val="single" w:sz="8" w:space="0" w:color="FFE512" w:themeColor="accent5"/>
          <w:left w:val="single" w:sz="8" w:space="0" w:color="FFE512" w:themeColor="accent5"/>
          <w:bottom w:val="single" w:sz="8" w:space="0" w:color="FFE512" w:themeColor="accent5"/>
          <w:right w:val="single" w:sz="8" w:space="0" w:color="FFE512" w:themeColor="accent5"/>
        </w:tcBorders>
      </w:tcPr>
    </w:tblStylePr>
  </w:style>
  <w:style w:type="table" w:styleId="LightList-Accent6">
    <w:name w:val="Light List Accent 6"/>
    <w:basedOn w:val="TableNormal"/>
    <w:uiPriority w:val="61"/>
    <w:semiHidden/>
    <w:unhideWhenUsed/>
    <w:rsid w:val="009E6ED7"/>
    <w:tblPr>
      <w:tblStyleRowBandSize w:val="1"/>
      <w:tblStyleColBandSize w:val="1"/>
      <w:tblBorders>
        <w:top w:val="single" w:sz="8" w:space="0" w:color="8C8279" w:themeColor="accent6"/>
        <w:left w:val="single" w:sz="8" w:space="0" w:color="8C8279" w:themeColor="accent6"/>
        <w:bottom w:val="single" w:sz="8" w:space="0" w:color="8C8279" w:themeColor="accent6"/>
        <w:right w:val="single" w:sz="8" w:space="0" w:color="8C8279" w:themeColor="accent6"/>
      </w:tblBorders>
    </w:tblPr>
    <w:tblStylePr w:type="firstRow">
      <w:pPr>
        <w:spacing w:before="0" w:after="0" w:line="240" w:lineRule="auto"/>
      </w:pPr>
      <w:rPr>
        <w:b/>
        <w:bCs/>
        <w:color w:val="FFFFFF" w:themeColor="background1"/>
      </w:rPr>
      <w:tblPr/>
      <w:tcPr>
        <w:shd w:val="clear" w:color="auto" w:fill="8C8279" w:themeFill="accent6"/>
      </w:tcPr>
    </w:tblStylePr>
    <w:tblStylePr w:type="lastRow">
      <w:pPr>
        <w:spacing w:before="0" w:after="0" w:line="240" w:lineRule="auto"/>
      </w:pPr>
      <w:rPr>
        <w:b/>
        <w:bCs/>
      </w:rPr>
      <w:tblPr/>
      <w:tcPr>
        <w:tcBorders>
          <w:top w:val="double" w:sz="6" w:space="0" w:color="8C8279" w:themeColor="accent6"/>
          <w:left w:val="single" w:sz="8" w:space="0" w:color="8C8279" w:themeColor="accent6"/>
          <w:bottom w:val="single" w:sz="8" w:space="0" w:color="8C8279" w:themeColor="accent6"/>
          <w:right w:val="single" w:sz="8" w:space="0" w:color="8C8279" w:themeColor="accent6"/>
        </w:tcBorders>
      </w:tcPr>
    </w:tblStylePr>
    <w:tblStylePr w:type="firstCol">
      <w:rPr>
        <w:b/>
        <w:bCs/>
      </w:rPr>
    </w:tblStylePr>
    <w:tblStylePr w:type="lastCol">
      <w:rPr>
        <w:b/>
        <w:bCs/>
      </w:rPr>
    </w:tblStylePr>
    <w:tblStylePr w:type="band1Vert">
      <w:tblPr/>
      <w:tcPr>
        <w:tcBorders>
          <w:top w:val="single" w:sz="8" w:space="0" w:color="8C8279" w:themeColor="accent6"/>
          <w:left w:val="single" w:sz="8" w:space="0" w:color="8C8279" w:themeColor="accent6"/>
          <w:bottom w:val="single" w:sz="8" w:space="0" w:color="8C8279" w:themeColor="accent6"/>
          <w:right w:val="single" w:sz="8" w:space="0" w:color="8C8279" w:themeColor="accent6"/>
        </w:tcBorders>
      </w:tcPr>
    </w:tblStylePr>
    <w:tblStylePr w:type="band1Horz">
      <w:tblPr/>
      <w:tcPr>
        <w:tcBorders>
          <w:top w:val="single" w:sz="8" w:space="0" w:color="8C8279" w:themeColor="accent6"/>
          <w:left w:val="single" w:sz="8" w:space="0" w:color="8C8279" w:themeColor="accent6"/>
          <w:bottom w:val="single" w:sz="8" w:space="0" w:color="8C8279" w:themeColor="accent6"/>
          <w:right w:val="single" w:sz="8" w:space="0" w:color="8C8279" w:themeColor="accent6"/>
        </w:tcBorders>
      </w:tcPr>
    </w:tblStylePr>
  </w:style>
  <w:style w:type="table" w:styleId="LightShading">
    <w:name w:val="Light Shading"/>
    <w:basedOn w:val="TableNormal"/>
    <w:uiPriority w:val="60"/>
    <w:semiHidden/>
    <w:unhideWhenUsed/>
    <w:rsid w:val="009E6ED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9E6ED7"/>
    <w:rPr>
      <w:color w:val="0087A9" w:themeColor="accent1" w:themeShade="BF"/>
    </w:rPr>
    <w:tblPr>
      <w:tblStyleRowBandSize w:val="1"/>
      <w:tblStyleColBandSize w:val="1"/>
      <w:tblBorders>
        <w:top w:val="single" w:sz="8" w:space="0" w:color="00B5E2" w:themeColor="accent1"/>
        <w:bottom w:val="single" w:sz="8" w:space="0" w:color="00B5E2" w:themeColor="accent1"/>
      </w:tblBorders>
    </w:tblPr>
    <w:tblStylePr w:type="firstRow">
      <w:pPr>
        <w:spacing w:before="0" w:after="0" w:line="240" w:lineRule="auto"/>
      </w:pPr>
      <w:rPr>
        <w:b/>
        <w:bCs/>
      </w:rPr>
      <w:tblPr/>
      <w:tcPr>
        <w:tcBorders>
          <w:top w:val="single" w:sz="8" w:space="0" w:color="00B5E2" w:themeColor="accent1"/>
          <w:left w:val="nil"/>
          <w:bottom w:val="single" w:sz="8" w:space="0" w:color="00B5E2" w:themeColor="accent1"/>
          <w:right w:val="nil"/>
          <w:insideH w:val="nil"/>
          <w:insideV w:val="nil"/>
        </w:tcBorders>
      </w:tcPr>
    </w:tblStylePr>
    <w:tblStylePr w:type="lastRow">
      <w:pPr>
        <w:spacing w:before="0" w:after="0" w:line="240" w:lineRule="auto"/>
      </w:pPr>
      <w:rPr>
        <w:b/>
        <w:bCs/>
      </w:rPr>
      <w:tblPr/>
      <w:tcPr>
        <w:tcBorders>
          <w:top w:val="single" w:sz="8" w:space="0" w:color="00B5E2" w:themeColor="accent1"/>
          <w:left w:val="nil"/>
          <w:bottom w:val="single" w:sz="8" w:space="0" w:color="00B5E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8F0FF" w:themeFill="accent1" w:themeFillTint="3F"/>
      </w:tcPr>
    </w:tblStylePr>
    <w:tblStylePr w:type="band1Horz">
      <w:tblPr/>
      <w:tcPr>
        <w:tcBorders>
          <w:left w:val="nil"/>
          <w:right w:val="nil"/>
          <w:insideH w:val="nil"/>
          <w:insideV w:val="nil"/>
        </w:tcBorders>
        <w:shd w:val="clear" w:color="auto" w:fill="B8F0FF" w:themeFill="accent1" w:themeFillTint="3F"/>
      </w:tcPr>
    </w:tblStylePr>
  </w:style>
  <w:style w:type="table" w:styleId="LightShading-Accent2">
    <w:name w:val="Light Shading Accent 2"/>
    <w:basedOn w:val="TableNormal"/>
    <w:uiPriority w:val="60"/>
    <w:semiHidden/>
    <w:unhideWhenUsed/>
    <w:rsid w:val="009E6ED7"/>
    <w:rPr>
      <w:color w:val="628D00" w:themeColor="accent2" w:themeShade="BF"/>
    </w:rPr>
    <w:tblPr>
      <w:tblStyleRowBandSize w:val="1"/>
      <w:tblStyleColBandSize w:val="1"/>
      <w:tblBorders>
        <w:top w:val="single" w:sz="8" w:space="0" w:color="84BD00" w:themeColor="accent2"/>
        <w:bottom w:val="single" w:sz="8" w:space="0" w:color="84BD00" w:themeColor="accent2"/>
      </w:tblBorders>
    </w:tblPr>
    <w:tblStylePr w:type="firstRow">
      <w:pPr>
        <w:spacing w:before="0" w:after="0" w:line="240" w:lineRule="auto"/>
      </w:pPr>
      <w:rPr>
        <w:b/>
        <w:bCs/>
      </w:rPr>
      <w:tblPr/>
      <w:tcPr>
        <w:tcBorders>
          <w:top w:val="single" w:sz="8" w:space="0" w:color="84BD00" w:themeColor="accent2"/>
          <w:left w:val="nil"/>
          <w:bottom w:val="single" w:sz="8" w:space="0" w:color="84BD00" w:themeColor="accent2"/>
          <w:right w:val="nil"/>
          <w:insideH w:val="nil"/>
          <w:insideV w:val="nil"/>
        </w:tcBorders>
      </w:tcPr>
    </w:tblStylePr>
    <w:tblStylePr w:type="lastRow">
      <w:pPr>
        <w:spacing w:before="0" w:after="0" w:line="240" w:lineRule="auto"/>
      </w:pPr>
      <w:rPr>
        <w:b/>
        <w:bCs/>
      </w:rPr>
      <w:tblPr/>
      <w:tcPr>
        <w:tcBorders>
          <w:top w:val="single" w:sz="8" w:space="0" w:color="84BD00" w:themeColor="accent2"/>
          <w:left w:val="nil"/>
          <w:bottom w:val="single" w:sz="8" w:space="0" w:color="84BD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7FFAF" w:themeFill="accent2" w:themeFillTint="3F"/>
      </w:tcPr>
    </w:tblStylePr>
    <w:tblStylePr w:type="band1Horz">
      <w:tblPr/>
      <w:tcPr>
        <w:tcBorders>
          <w:left w:val="nil"/>
          <w:right w:val="nil"/>
          <w:insideH w:val="nil"/>
          <w:insideV w:val="nil"/>
        </w:tcBorders>
        <w:shd w:val="clear" w:color="auto" w:fill="E7FFAF" w:themeFill="accent2" w:themeFillTint="3F"/>
      </w:tcPr>
    </w:tblStylePr>
  </w:style>
  <w:style w:type="table" w:styleId="LightShading-Accent3">
    <w:name w:val="Light Shading Accent 3"/>
    <w:basedOn w:val="TableNormal"/>
    <w:uiPriority w:val="60"/>
    <w:semiHidden/>
    <w:unhideWhenUsed/>
    <w:rsid w:val="009E6ED7"/>
    <w:rPr>
      <w:color w:val="C76808" w:themeColor="accent3" w:themeShade="BF"/>
    </w:rPr>
    <w:tblPr>
      <w:tblStyleRowBandSize w:val="1"/>
      <w:tblStyleColBandSize w:val="1"/>
      <w:tblBorders>
        <w:top w:val="single" w:sz="8" w:space="0" w:color="F68B1F" w:themeColor="accent3"/>
        <w:bottom w:val="single" w:sz="8" w:space="0" w:color="F68B1F" w:themeColor="accent3"/>
      </w:tblBorders>
    </w:tblPr>
    <w:tblStylePr w:type="firstRow">
      <w:pPr>
        <w:spacing w:before="0" w:after="0" w:line="240" w:lineRule="auto"/>
      </w:pPr>
      <w:rPr>
        <w:b/>
        <w:bCs/>
      </w:rPr>
      <w:tblPr/>
      <w:tcPr>
        <w:tcBorders>
          <w:top w:val="single" w:sz="8" w:space="0" w:color="F68B1F" w:themeColor="accent3"/>
          <w:left w:val="nil"/>
          <w:bottom w:val="single" w:sz="8" w:space="0" w:color="F68B1F" w:themeColor="accent3"/>
          <w:right w:val="nil"/>
          <w:insideH w:val="nil"/>
          <w:insideV w:val="nil"/>
        </w:tcBorders>
      </w:tcPr>
    </w:tblStylePr>
    <w:tblStylePr w:type="lastRow">
      <w:pPr>
        <w:spacing w:before="0" w:after="0" w:line="240" w:lineRule="auto"/>
      </w:pPr>
      <w:rPr>
        <w:b/>
        <w:bCs/>
      </w:rPr>
      <w:tblPr/>
      <w:tcPr>
        <w:tcBorders>
          <w:top w:val="single" w:sz="8" w:space="0" w:color="F68B1F" w:themeColor="accent3"/>
          <w:left w:val="nil"/>
          <w:bottom w:val="single" w:sz="8" w:space="0" w:color="F68B1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CE2C7" w:themeFill="accent3" w:themeFillTint="3F"/>
      </w:tcPr>
    </w:tblStylePr>
    <w:tblStylePr w:type="band1Horz">
      <w:tblPr/>
      <w:tcPr>
        <w:tcBorders>
          <w:left w:val="nil"/>
          <w:right w:val="nil"/>
          <w:insideH w:val="nil"/>
          <w:insideV w:val="nil"/>
        </w:tcBorders>
        <w:shd w:val="clear" w:color="auto" w:fill="FCE2C7" w:themeFill="accent3" w:themeFillTint="3F"/>
      </w:tcPr>
    </w:tblStylePr>
  </w:style>
  <w:style w:type="table" w:styleId="LightShading-Accent4">
    <w:name w:val="Light Shading Accent 4"/>
    <w:basedOn w:val="TableNormal"/>
    <w:uiPriority w:val="60"/>
    <w:semiHidden/>
    <w:unhideWhenUsed/>
    <w:rsid w:val="009E6ED7"/>
    <w:rPr>
      <w:color w:val="76005E" w:themeColor="accent4" w:themeShade="BF"/>
    </w:rPr>
    <w:tblPr>
      <w:tblStyleRowBandSize w:val="1"/>
      <w:tblStyleColBandSize w:val="1"/>
      <w:tblBorders>
        <w:top w:val="single" w:sz="8" w:space="0" w:color="9E007E" w:themeColor="accent4"/>
        <w:bottom w:val="single" w:sz="8" w:space="0" w:color="9E007E" w:themeColor="accent4"/>
      </w:tblBorders>
    </w:tblPr>
    <w:tblStylePr w:type="firstRow">
      <w:pPr>
        <w:spacing w:before="0" w:after="0" w:line="240" w:lineRule="auto"/>
      </w:pPr>
      <w:rPr>
        <w:b/>
        <w:bCs/>
      </w:rPr>
      <w:tblPr/>
      <w:tcPr>
        <w:tcBorders>
          <w:top w:val="single" w:sz="8" w:space="0" w:color="9E007E" w:themeColor="accent4"/>
          <w:left w:val="nil"/>
          <w:bottom w:val="single" w:sz="8" w:space="0" w:color="9E007E" w:themeColor="accent4"/>
          <w:right w:val="nil"/>
          <w:insideH w:val="nil"/>
          <w:insideV w:val="nil"/>
        </w:tcBorders>
      </w:tcPr>
    </w:tblStylePr>
    <w:tblStylePr w:type="lastRow">
      <w:pPr>
        <w:spacing w:before="0" w:after="0" w:line="240" w:lineRule="auto"/>
      </w:pPr>
      <w:rPr>
        <w:b/>
        <w:bCs/>
      </w:rPr>
      <w:tblPr/>
      <w:tcPr>
        <w:tcBorders>
          <w:top w:val="single" w:sz="8" w:space="0" w:color="9E007E" w:themeColor="accent4"/>
          <w:left w:val="nil"/>
          <w:bottom w:val="single" w:sz="8" w:space="0" w:color="9E007E"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A8ED" w:themeFill="accent4" w:themeFillTint="3F"/>
      </w:tcPr>
    </w:tblStylePr>
    <w:tblStylePr w:type="band1Horz">
      <w:tblPr/>
      <w:tcPr>
        <w:tcBorders>
          <w:left w:val="nil"/>
          <w:right w:val="nil"/>
          <w:insideH w:val="nil"/>
          <w:insideV w:val="nil"/>
        </w:tcBorders>
        <w:shd w:val="clear" w:color="auto" w:fill="FFA8ED" w:themeFill="accent4" w:themeFillTint="3F"/>
      </w:tcPr>
    </w:tblStylePr>
  </w:style>
  <w:style w:type="table" w:styleId="LightShading-Accent5">
    <w:name w:val="Light Shading Accent 5"/>
    <w:basedOn w:val="TableNormal"/>
    <w:uiPriority w:val="60"/>
    <w:semiHidden/>
    <w:unhideWhenUsed/>
    <w:rsid w:val="009E6ED7"/>
    <w:rPr>
      <w:color w:val="CCB500" w:themeColor="accent5" w:themeShade="BF"/>
    </w:rPr>
    <w:tblPr>
      <w:tblStyleRowBandSize w:val="1"/>
      <w:tblStyleColBandSize w:val="1"/>
      <w:tblBorders>
        <w:top w:val="single" w:sz="8" w:space="0" w:color="FFE512" w:themeColor="accent5"/>
        <w:bottom w:val="single" w:sz="8" w:space="0" w:color="FFE512" w:themeColor="accent5"/>
      </w:tblBorders>
    </w:tblPr>
    <w:tblStylePr w:type="firstRow">
      <w:pPr>
        <w:spacing w:before="0" w:after="0" w:line="240" w:lineRule="auto"/>
      </w:pPr>
      <w:rPr>
        <w:b/>
        <w:bCs/>
      </w:rPr>
      <w:tblPr/>
      <w:tcPr>
        <w:tcBorders>
          <w:top w:val="single" w:sz="8" w:space="0" w:color="FFE512" w:themeColor="accent5"/>
          <w:left w:val="nil"/>
          <w:bottom w:val="single" w:sz="8" w:space="0" w:color="FFE512" w:themeColor="accent5"/>
          <w:right w:val="nil"/>
          <w:insideH w:val="nil"/>
          <w:insideV w:val="nil"/>
        </w:tcBorders>
      </w:tcPr>
    </w:tblStylePr>
    <w:tblStylePr w:type="lastRow">
      <w:pPr>
        <w:spacing w:before="0" w:after="0" w:line="240" w:lineRule="auto"/>
      </w:pPr>
      <w:rPr>
        <w:b/>
        <w:bCs/>
      </w:rPr>
      <w:tblPr/>
      <w:tcPr>
        <w:tcBorders>
          <w:top w:val="single" w:sz="8" w:space="0" w:color="FFE512" w:themeColor="accent5"/>
          <w:left w:val="nil"/>
          <w:bottom w:val="single" w:sz="8" w:space="0" w:color="FFE512"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8C4" w:themeFill="accent5" w:themeFillTint="3F"/>
      </w:tcPr>
    </w:tblStylePr>
    <w:tblStylePr w:type="band1Horz">
      <w:tblPr/>
      <w:tcPr>
        <w:tcBorders>
          <w:left w:val="nil"/>
          <w:right w:val="nil"/>
          <w:insideH w:val="nil"/>
          <w:insideV w:val="nil"/>
        </w:tcBorders>
        <w:shd w:val="clear" w:color="auto" w:fill="FFF8C4" w:themeFill="accent5" w:themeFillTint="3F"/>
      </w:tcPr>
    </w:tblStylePr>
  </w:style>
  <w:style w:type="table" w:styleId="LightShading-Accent6">
    <w:name w:val="Light Shading Accent 6"/>
    <w:basedOn w:val="TableNormal"/>
    <w:uiPriority w:val="60"/>
    <w:semiHidden/>
    <w:unhideWhenUsed/>
    <w:rsid w:val="009E6ED7"/>
    <w:rPr>
      <w:color w:val="69615A" w:themeColor="accent6" w:themeShade="BF"/>
    </w:rPr>
    <w:tblPr>
      <w:tblStyleRowBandSize w:val="1"/>
      <w:tblStyleColBandSize w:val="1"/>
      <w:tblBorders>
        <w:top w:val="single" w:sz="8" w:space="0" w:color="8C8279" w:themeColor="accent6"/>
        <w:bottom w:val="single" w:sz="8" w:space="0" w:color="8C8279" w:themeColor="accent6"/>
      </w:tblBorders>
    </w:tblPr>
    <w:tblStylePr w:type="firstRow">
      <w:pPr>
        <w:spacing w:before="0" w:after="0" w:line="240" w:lineRule="auto"/>
      </w:pPr>
      <w:rPr>
        <w:b/>
        <w:bCs/>
      </w:rPr>
      <w:tblPr/>
      <w:tcPr>
        <w:tcBorders>
          <w:top w:val="single" w:sz="8" w:space="0" w:color="8C8279" w:themeColor="accent6"/>
          <w:left w:val="nil"/>
          <w:bottom w:val="single" w:sz="8" w:space="0" w:color="8C8279" w:themeColor="accent6"/>
          <w:right w:val="nil"/>
          <w:insideH w:val="nil"/>
          <w:insideV w:val="nil"/>
        </w:tcBorders>
      </w:tcPr>
    </w:tblStylePr>
    <w:tblStylePr w:type="lastRow">
      <w:pPr>
        <w:spacing w:before="0" w:after="0" w:line="240" w:lineRule="auto"/>
      </w:pPr>
      <w:rPr>
        <w:b/>
        <w:bCs/>
      </w:rPr>
      <w:tblPr/>
      <w:tcPr>
        <w:tcBorders>
          <w:top w:val="single" w:sz="8" w:space="0" w:color="8C8279" w:themeColor="accent6"/>
          <w:left w:val="nil"/>
          <w:bottom w:val="single" w:sz="8" w:space="0" w:color="8C8279"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E0DD" w:themeFill="accent6" w:themeFillTint="3F"/>
      </w:tcPr>
    </w:tblStylePr>
    <w:tblStylePr w:type="band1Horz">
      <w:tblPr/>
      <w:tcPr>
        <w:tcBorders>
          <w:left w:val="nil"/>
          <w:right w:val="nil"/>
          <w:insideH w:val="nil"/>
          <w:insideV w:val="nil"/>
        </w:tcBorders>
        <w:shd w:val="clear" w:color="auto" w:fill="E2E0DD" w:themeFill="accent6" w:themeFillTint="3F"/>
      </w:tcPr>
    </w:tblStylePr>
  </w:style>
  <w:style w:type="table" w:styleId="MediumGrid1">
    <w:name w:val="Medium Grid 1"/>
    <w:basedOn w:val="TableNormal"/>
    <w:uiPriority w:val="67"/>
    <w:semiHidden/>
    <w:unhideWhenUsed/>
    <w:rsid w:val="009E6ED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9E6ED7"/>
    <w:tblPr>
      <w:tblStyleRowBandSize w:val="1"/>
      <w:tblStyleColBandSize w:val="1"/>
      <w:tblBorders>
        <w:top w:val="single" w:sz="8" w:space="0" w:color="2AD4FF" w:themeColor="accent1" w:themeTint="BF"/>
        <w:left w:val="single" w:sz="8" w:space="0" w:color="2AD4FF" w:themeColor="accent1" w:themeTint="BF"/>
        <w:bottom w:val="single" w:sz="8" w:space="0" w:color="2AD4FF" w:themeColor="accent1" w:themeTint="BF"/>
        <w:right w:val="single" w:sz="8" w:space="0" w:color="2AD4FF" w:themeColor="accent1" w:themeTint="BF"/>
        <w:insideH w:val="single" w:sz="8" w:space="0" w:color="2AD4FF" w:themeColor="accent1" w:themeTint="BF"/>
        <w:insideV w:val="single" w:sz="8" w:space="0" w:color="2AD4FF" w:themeColor="accent1" w:themeTint="BF"/>
      </w:tblBorders>
    </w:tblPr>
    <w:tcPr>
      <w:shd w:val="clear" w:color="auto" w:fill="B8F0FF" w:themeFill="accent1" w:themeFillTint="3F"/>
    </w:tcPr>
    <w:tblStylePr w:type="firstRow">
      <w:rPr>
        <w:b/>
        <w:bCs/>
      </w:rPr>
    </w:tblStylePr>
    <w:tblStylePr w:type="lastRow">
      <w:rPr>
        <w:b/>
        <w:bCs/>
      </w:rPr>
      <w:tblPr/>
      <w:tcPr>
        <w:tcBorders>
          <w:top w:val="single" w:sz="18" w:space="0" w:color="2AD4FF" w:themeColor="accent1" w:themeTint="BF"/>
        </w:tcBorders>
      </w:tcPr>
    </w:tblStylePr>
    <w:tblStylePr w:type="firstCol">
      <w:rPr>
        <w:b/>
        <w:bCs/>
      </w:rPr>
    </w:tblStylePr>
    <w:tblStylePr w:type="lastCol">
      <w:rPr>
        <w:b/>
        <w:bCs/>
      </w:rPr>
    </w:tblStylePr>
    <w:tblStylePr w:type="band1Vert">
      <w:tblPr/>
      <w:tcPr>
        <w:shd w:val="clear" w:color="auto" w:fill="71E2FF" w:themeFill="accent1" w:themeFillTint="7F"/>
      </w:tcPr>
    </w:tblStylePr>
    <w:tblStylePr w:type="band1Horz">
      <w:tblPr/>
      <w:tcPr>
        <w:shd w:val="clear" w:color="auto" w:fill="71E2FF" w:themeFill="accent1" w:themeFillTint="7F"/>
      </w:tcPr>
    </w:tblStylePr>
  </w:style>
  <w:style w:type="table" w:styleId="MediumGrid1-Accent2">
    <w:name w:val="Medium Grid 1 Accent 2"/>
    <w:basedOn w:val="TableNormal"/>
    <w:uiPriority w:val="67"/>
    <w:semiHidden/>
    <w:unhideWhenUsed/>
    <w:rsid w:val="009E6ED7"/>
    <w:tblPr>
      <w:tblStyleRowBandSize w:val="1"/>
      <w:tblStyleColBandSize w:val="1"/>
      <w:tblBorders>
        <w:top w:val="single" w:sz="8" w:space="0" w:color="B6FF0E" w:themeColor="accent2" w:themeTint="BF"/>
        <w:left w:val="single" w:sz="8" w:space="0" w:color="B6FF0E" w:themeColor="accent2" w:themeTint="BF"/>
        <w:bottom w:val="single" w:sz="8" w:space="0" w:color="B6FF0E" w:themeColor="accent2" w:themeTint="BF"/>
        <w:right w:val="single" w:sz="8" w:space="0" w:color="B6FF0E" w:themeColor="accent2" w:themeTint="BF"/>
        <w:insideH w:val="single" w:sz="8" w:space="0" w:color="B6FF0E" w:themeColor="accent2" w:themeTint="BF"/>
        <w:insideV w:val="single" w:sz="8" w:space="0" w:color="B6FF0E" w:themeColor="accent2" w:themeTint="BF"/>
      </w:tblBorders>
    </w:tblPr>
    <w:tcPr>
      <w:shd w:val="clear" w:color="auto" w:fill="E7FFAF" w:themeFill="accent2" w:themeFillTint="3F"/>
    </w:tcPr>
    <w:tblStylePr w:type="firstRow">
      <w:rPr>
        <w:b/>
        <w:bCs/>
      </w:rPr>
    </w:tblStylePr>
    <w:tblStylePr w:type="lastRow">
      <w:rPr>
        <w:b/>
        <w:bCs/>
      </w:rPr>
      <w:tblPr/>
      <w:tcPr>
        <w:tcBorders>
          <w:top w:val="single" w:sz="18" w:space="0" w:color="B6FF0E" w:themeColor="accent2" w:themeTint="BF"/>
        </w:tcBorders>
      </w:tcPr>
    </w:tblStylePr>
    <w:tblStylePr w:type="firstCol">
      <w:rPr>
        <w:b/>
        <w:bCs/>
      </w:rPr>
    </w:tblStylePr>
    <w:tblStylePr w:type="lastCol">
      <w:rPr>
        <w:b/>
        <w:bCs/>
      </w:rPr>
    </w:tblStylePr>
    <w:tblStylePr w:type="band1Vert">
      <w:tblPr/>
      <w:tcPr>
        <w:shd w:val="clear" w:color="auto" w:fill="CEFF5F" w:themeFill="accent2" w:themeFillTint="7F"/>
      </w:tcPr>
    </w:tblStylePr>
    <w:tblStylePr w:type="band1Horz">
      <w:tblPr/>
      <w:tcPr>
        <w:shd w:val="clear" w:color="auto" w:fill="CEFF5F" w:themeFill="accent2" w:themeFillTint="7F"/>
      </w:tcPr>
    </w:tblStylePr>
  </w:style>
  <w:style w:type="table" w:styleId="MediumGrid1-Accent3">
    <w:name w:val="Medium Grid 1 Accent 3"/>
    <w:basedOn w:val="TableNormal"/>
    <w:uiPriority w:val="67"/>
    <w:semiHidden/>
    <w:unhideWhenUsed/>
    <w:rsid w:val="009E6ED7"/>
    <w:tblPr>
      <w:tblStyleRowBandSize w:val="1"/>
      <w:tblStyleColBandSize w:val="1"/>
      <w:tblBorders>
        <w:top w:val="single" w:sz="8" w:space="0" w:color="F8A757" w:themeColor="accent3" w:themeTint="BF"/>
        <w:left w:val="single" w:sz="8" w:space="0" w:color="F8A757" w:themeColor="accent3" w:themeTint="BF"/>
        <w:bottom w:val="single" w:sz="8" w:space="0" w:color="F8A757" w:themeColor="accent3" w:themeTint="BF"/>
        <w:right w:val="single" w:sz="8" w:space="0" w:color="F8A757" w:themeColor="accent3" w:themeTint="BF"/>
        <w:insideH w:val="single" w:sz="8" w:space="0" w:color="F8A757" w:themeColor="accent3" w:themeTint="BF"/>
        <w:insideV w:val="single" w:sz="8" w:space="0" w:color="F8A757" w:themeColor="accent3" w:themeTint="BF"/>
      </w:tblBorders>
    </w:tblPr>
    <w:tcPr>
      <w:shd w:val="clear" w:color="auto" w:fill="FCE2C7" w:themeFill="accent3" w:themeFillTint="3F"/>
    </w:tcPr>
    <w:tblStylePr w:type="firstRow">
      <w:rPr>
        <w:b/>
        <w:bCs/>
      </w:rPr>
    </w:tblStylePr>
    <w:tblStylePr w:type="lastRow">
      <w:rPr>
        <w:b/>
        <w:bCs/>
      </w:rPr>
      <w:tblPr/>
      <w:tcPr>
        <w:tcBorders>
          <w:top w:val="single" w:sz="18" w:space="0" w:color="F8A757" w:themeColor="accent3" w:themeTint="BF"/>
        </w:tcBorders>
      </w:tcPr>
    </w:tblStylePr>
    <w:tblStylePr w:type="firstCol">
      <w:rPr>
        <w:b/>
        <w:bCs/>
      </w:rPr>
    </w:tblStylePr>
    <w:tblStylePr w:type="lastCol">
      <w:rPr>
        <w:b/>
        <w:bCs/>
      </w:rPr>
    </w:tblStylePr>
    <w:tblStylePr w:type="band1Vert">
      <w:tblPr/>
      <w:tcPr>
        <w:shd w:val="clear" w:color="auto" w:fill="FAC58F" w:themeFill="accent3" w:themeFillTint="7F"/>
      </w:tcPr>
    </w:tblStylePr>
    <w:tblStylePr w:type="band1Horz">
      <w:tblPr/>
      <w:tcPr>
        <w:shd w:val="clear" w:color="auto" w:fill="FAC58F" w:themeFill="accent3" w:themeFillTint="7F"/>
      </w:tcPr>
    </w:tblStylePr>
  </w:style>
  <w:style w:type="table" w:styleId="MediumGrid1-Accent4">
    <w:name w:val="Medium Grid 1 Accent 4"/>
    <w:basedOn w:val="TableNormal"/>
    <w:uiPriority w:val="67"/>
    <w:semiHidden/>
    <w:unhideWhenUsed/>
    <w:rsid w:val="009E6ED7"/>
    <w:tblPr>
      <w:tblStyleRowBandSize w:val="1"/>
      <w:tblStyleColBandSize w:val="1"/>
      <w:tblBorders>
        <w:top w:val="single" w:sz="8" w:space="0" w:color="F600C4" w:themeColor="accent4" w:themeTint="BF"/>
        <w:left w:val="single" w:sz="8" w:space="0" w:color="F600C4" w:themeColor="accent4" w:themeTint="BF"/>
        <w:bottom w:val="single" w:sz="8" w:space="0" w:color="F600C4" w:themeColor="accent4" w:themeTint="BF"/>
        <w:right w:val="single" w:sz="8" w:space="0" w:color="F600C4" w:themeColor="accent4" w:themeTint="BF"/>
        <w:insideH w:val="single" w:sz="8" w:space="0" w:color="F600C4" w:themeColor="accent4" w:themeTint="BF"/>
        <w:insideV w:val="single" w:sz="8" w:space="0" w:color="F600C4" w:themeColor="accent4" w:themeTint="BF"/>
      </w:tblBorders>
    </w:tblPr>
    <w:tcPr>
      <w:shd w:val="clear" w:color="auto" w:fill="FFA8ED" w:themeFill="accent4" w:themeFillTint="3F"/>
    </w:tcPr>
    <w:tblStylePr w:type="firstRow">
      <w:rPr>
        <w:b/>
        <w:bCs/>
      </w:rPr>
    </w:tblStylePr>
    <w:tblStylePr w:type="lastRow">
      <w:rPr>
        <w:b/>
        <w:bCs/>
      </w:rPr>
      <w:tblPr/>
      <w:tcPr>
        <w:tcBorders>
          <w:top w:val="single" w:sz="18" w:space="0" w:color="F600C4" w:themeColor="accent4" w:themeTint="BF"/>
        </w:tcBorders>
      </w:tcPr>
    </w:tblStylePr>
    <w:tblStylePr w:type="firstCol">
      <w:rPr>
        <w:b/>
        <w:bCs/>
      </w:rPr>
    </w:tblStylePr>
    <w:tblStylePr w:type="lastCol">
      <w:rPr>
        <w:b/>
        <w:bCs/>
      </w:rPr>
    </w:tblStylePr>
    <w:tblStylePr w:type="band1Vert">
      <w:tblPr/>
      <w:tcPr>
        <w:shd w:val="clear" w:color="auto" w:fill="FF4FDB" w:themeFill="accent4" w:themeFillTint="7F"/>
      </w:tcPr>
    </w:tblStylePr>
    <w:tblStylePr w:type="band1Horz">
      <w:tblPr/>
      <w:tcPr>
        <w:shd w:val="clear" w:color="auto" w:fill="FF4FDB" w:themeFill="accent4" w:themeFillTint="7F"/>
      </w:tcPr>
    </w:tblStylePr>
  </w:style>
  <w:style w:type="table" w:styleId="MediumGrid1-Accent5">
    <w:name w:val="Medium Grid 1 Accent 5"/>
    <w:basedOn w:val="TableNormal"/>
    <w:uiPriority w:val="67"/>
    <w:semiHidden/>
    <w:unhideWhenUsed/>
    <w:rsid w:val="009E6ED7"/>
    <w:tblPr>
      <w:tblStyleRowBandSize w:val="1"/>
      <w:tblStyleColBandSize w:val="1"/>
      <w:tblBorders>
        <w:top w:val="single" w:sz="8" w:space="0" w:color="FFEB4D" w:themeColor="accent5" w:themeTint="BF"/>
        <w:left w:val="single" w:sz="8" w:space="0" w:color="FFEB4D" w:themeColor="accent5" w:themeTint="BF"/>
        <w:bottom w:val="single" w:sz="8" w:space="0" w:color="FFEB4D" w:themeColor="accent5" w:themeTint="BF"/>
        <w:right w:val="single" w:sz="8" w:space="0" w:color="FFEB4D" w:themeColor="accent5" w:themeTint="BF"/>
        <w:insideH w:val="single" w:sz="8" w:space="0" w:color="FFEB4D" w:themeColor="accent5" w:themeTint="BF"/>
        <w:insideV w:val="single" w:sz="8" w:space="0" w:color="FFEB4D" w:themeColor="accent5" w:themeTint="BF"/>
      </w:tblBorders>
    </w:tblPr>
    <w:tcPr>
      <w:shd w:val="clear" w:color="auto" w:fill="FFF8C4" w:themeFill="accent5" w:themeFillTint="3F"/>
    </w:tcPr>
    <w:tblStylePr w:type="firstRow">
      <w:rPr>
        <w:b/>
        <w:bCs/>
      </w:rPr>
    </w:tblStylePr>
    <w:tblStylePr w:type="lastRow">
      <w:rPr>
        <w:b/>
        <w:bCs/>
      </w:rPr>
      <w:tblPr/>
      <w:tcPr>
        <w:tcBorders>
          <w:top w:val="single" w:sz="18" w:space="0" w:color="FFEB4D" w:themeColor="accent5" w:themeTint="BF"/>
        </w:tcBorders>
      </w:tcPr>
    </w:tblStylePr>
    <w:tblStylePr w:type="firstCol">
      <w:rPr>
        <w:b/>
        <w:bCs/>
      </w:rPr>
    </w:tblStylePr>
    <w:tblStylePr w:type="lastCol">
      <w:rPr>
        <w:b/>
        <w:bCs/>
      </w:rPr>
    </w:tblStylePr>
    <w:tblStylePr w:type="band1Vert">
      <w:tblPr/>
      <w:tcPr>
        <w:shd w:val="clear" w:color="auto" w:fill="FFF288" w:themeFill="accent5" w:themeFillTint="7F"/>
      </w:tcPr>
    </w:tblStylePr>
    <w:tblStylePr w:type="band1Horz">
      <w:tblPr/>
      <w:tcPr>
        <w:shd w:val="clear" w:color="auto" w:fill="FFF288" w:themeFill="accent5" w:themeFillTint="7F"/>
      </w:tcPr>
    </w:tblStylePr>
  </w:style>
  <w:style w:type="table" w:styleId="MediumGrid1-Accent6">
    <w:name w:val="Medium Grid 1 Accent 6"/>
    <w:basedOn w:val="TableNormal"/>
    <w:uiPriority w:val="67"/>
    <w:semiHidden/>
    <w:unhideWhenUsed/>
    <w:rsid w:val="009E6ED7"/>
    <w:tblPr>
      <w:tblStyleRowBandSize w:val="1"/>
      <w:tblStyleColBandSize w:val="1"/>
      <w:tblBorders>
        <w:top w:val="single" w:sz="8" w:space="0" w:color="A8A19A" w:themeColor="accent6" w:themeTint="BF"/>
        <w:left w:val="single" w:sz="8" w:space="0" w:color="A8A19A" w:themeColor="accent6" w:themeTint="BF"/>
        <w:bottom w:val="single" w:sz="8" w:space="0" w:color="A8A19A" w:themeColor="accent6" w:themeTint="BF"/>
        <w:right w:val="single" w:sz="8" w:space="0" w:color="A8A19A" w:themeColor="accent6" w:themeTint="BF"/>
        <w:insideH w:val="single" w:sz="8" w:space="0" w:color="A8A19A" w:themeColor="accent6" w:themeTint="BF"/>
        <w:insideV w:val="single" w:sz="8" w:space="0" w:color="A8A19A" w:themeColor="accent6" w:themeTint="BF"/>
      </w:tblBorders>
    </w:tblPr>
    <w:tcPr>
      <w:shd w:val="clear" w:color="auto" w:fill="E2E0DD" w:themeFill="accent6" w:themeFillTint="3F"/>
    </w:tcPr>
    <w:tblStylePr w:type="firstRow">
      <w:rPr>
        <w:b/>
        <w:bCs/>
      </w:rPr>
    </w:tblStylePr>
    <w:tblStylePr w:type="lastRow">
      <w:rPr>
        <w:b/>
        <w:bCs/>
      </w:rPr>
      <w:tblPr/>
      <w:tcPr>
        <w:tcBorders>
          <w:top w:val="single" w:sz="18" w:space="0" w:color="A8A19A" w:themeColor="accent6" w:themeTint="BF"/>
        </w:tcBorders>
      </w:tcPr>
    </w:tblStylePr>
    <w:tblStylePr w:type="firstCol">
      <w:rPr>
        <w:b/>
        <w:bCs/>
      </w:rPr>
    </w:tblStylePr>
    <w:tblStylePr w:type="lastCol">
      <w:rPr>
        <w:b/>
        <w:bCs/>
      </w:rPr>
    </w:tblStylePr>
    <w:tblStylePr w:type="band1Vert">
      <w:tblPr/>
      <w:tcPr>
        <w:shd w:val="clear" w:color="auto" w:fill="C5C0BC" w:themeFill="accent6" w:themeFillTint="7F"/>
      </w:tcPr>
    </w:tblStylePr>
    <w:tblStylePr w:type="band1Horz">
      <w:tblPr/>
      <w:tcPr>
        <w:shd w:val="clear" w:color="auto" w:fill="C5C0BC" w:themeFill="accent6" w:themeFillTint="7F"/>
      </w:tcPr>
    </w:tblStylePr>
  </w:style>
  <w:style w:type="table" w:styleId="MediumGrid2">
    <w:name w:val="Medium Grid 2"/>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B5E2" w:themeColor="accent1"/>
        <w:left w:val="single" w:sz="8" w:space="0" w:color="00B5E2" w:themeColor="accent1"/>
        <w:bottom w:val="single" w:sz="8" w:space="0" w:color="00B5E2" w:themeColor="accent1"/>
        <w:right w:val="single" w:sz="8" w:space="0" w:color="00B5E2" w:themeColor="accent1"/>
        <w:insideH w:val="single" w:sz="8" w:space="0" w:color="00B5E2" w:themeColor="accent1"/>
        <w:insideV w:val="single" w:sz="8" w:space="0" w:color="00B5E2" w:themeColor="accent1"/>
      </w:tblBorders>
    </w:tblPr>
    <w:tcPr>
      <w:shd w:val="clear" w:color="auto" w:fill="B8F0FF" w:themeFill="accent1" w:themeFillTint="3F"/>
    </w:tcPr>
    <w:tblStylePr w:type="firstRow">
      <w:rPr>
        <w:b/>
        <w:bCs/>
        <w:color w:val="000000" w:themeColor="text1"/>
      </w:rPr>
      <w:tblPr/>
      <w:tcPr>
        <w:shd w:val="clear" w:color="auto" w:fill="E3F9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6F3FF" w:themeFill="accent1" w:themeFillTint="33"/>
      </w:tcPr>
    </w:tblStylePr>
    <w:tblStylePr w:type="band1Vert">
      <w:tblPr/>
      <w:tcPr>
        <w:shd w:val="clear" w:color="auto" w:fill="71E2FF" w:themeFill="accent1" w:themeFillTint="7F"/>
      </w:tcPr>
    </w:tblStylePr>
    <w:tblStylePr w:type="band1Horz">
      <w:tblPr/>
      <w:tcPr>
        <w:tcBorders>
          <w:insideH w:val="single" w:sz="6" w:space="0" w:color="00B5E2" w:themeColor="accent1"/>
          <w:insideV w:val="single" w:sz="6" w:space="0" w:color="00B5E2" w:themeColor="accent1"/>
        </w:tcBorders>
        <w:shd w:val="clear" w:color="auto" w:fill="71E2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84BD00" w:themeColor="accent2"/>
        <w:left w:val="single" w:sz="8" w:space="0" w:color="84BD00" w:themeColor="accent2"/>
        <w:bottom w:val="single" w:sz="8" w:space="0" w:color="84BD00" w:themeColor="accent2"/>
        <w:right w:val="single" w:sz="8" w:space="0" w:color="84BD00" w:themeColor="accent2"/>
        <w:insideH w:val="single" w:sz="8" w:space="0" w:color="84BD00" w:themeColor="accent2"/>
        <w:insideV w:val="single" w:sz="8" w:space="0" w:color="84BD00" w:themeColor="accent2"/>
      </w:tblBorders>
    </w:tblPr>
    <w:tcPr>
      <w:shd w:val="clear" w:color="auto" w:fill="E7FFAF" w:themeFill="accent2" w:themeFillTint="3F"/>
    </w:tcPr>
    <w:tblStylePr w:type="firstRow">
      <w:rPr>
        <w:b/>
        <w:bCs/>
        <w:color w:val="000000" w:themeColor="text1"/>
      </w:rPr>
      <w:tblPr/>
      <w:tcPr>
        <w:shd w:val="clear" w:color="auto" w:fill="F5F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BFFBE" w:themeFill="accent2" w:themeFillTint="33"/>
      </w:tcPr>
    </w:tblStylePr>
    <w:tblStylePr w:type="band1Vert">
      <w:tblPr/>
      <w:tcPr>
        <w:shd w:val="clear" w:color="auto" w:fill="CEFF5F" w:themeFill="accent2" w:themeFillTint="7F"/>
      </w:tcPr>
    </w:tblStylePr>
    <w:tblStylePr w:type="band1Horz">
      <w:tblPr/>
      <w:tcPr>
        <w:tcBorders>
          <w:insideH w:val="single" w:sz="6" w:space="0" w:color="84BD00" w:themeColor="accent2"/>
          <w:insideV w:val="single" w:sz="6" w:space="0" w:color="84BD00" w:themeColor="accent2"/>
        </w:tcBorders>
        <w:shd w:val="clear" w:color="auto" w:fill="CEFF5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F68B1F" w:themeColor="accent3"/>
        <w:left w:val="single" w:sz="8" w:space="0" w:color="F68B1F" w:themeColor="accent3"/>
        <w:bottom w:val="single" w:sz="8" w:space="0" w:color="F68B1F" w:themeColor="accent3"/>
        <w:right w:val="single" w:sz="8" w:space="0" w:color="F68B1F" w:themeColor="accent3"/>
        <w:insideH w:val="single" w:sz="8" w:space="0" w:color="F68B1F" w:themeColor="accent3"/>
        <w:insideV w:val="single" w:sz="8" w:space="0" w:color="F68B1F" w:themeColor="accent3"/>
      </w:tblBorders>
    </w:tblPr>
    <w:tcPr>
      <w:shd w:val="clear" w:color="auto" w:fill="FCE2C7" w:themeFill="accent3" w:themeFillTint="3F"/>
    </w:tcPr>
    <w:tblStylePr w:type="firstRow">
      <w:rPr>
        <w:b/>
        <w:bCs/>
        <w:color w:val="000000" w:themeColor="text1"/>
      </w:rPr>
      <w:tblPr/>
      <w:tcPr>
        <w:shd w:val="clear" w:color="auto" w:fill="FEF3E8"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7D2" w:themeFill="accent3" w:themeFillTint="33"/>
      </w:tcPr>
    </w:tblStylePr>
    <w:tblStylePr w:type="band1Vert">
      <w:tblPr/>
      <w:tcPr>
        <w:shd w:val="clear" w:color="auto" w:fill="FAC58F" w:themeFill="accent3" w:themeFillTint="7F"/>
      </w:tcPr>
    </w:tblStylePr>
    <w:tblStylePr w:type="band1Horz">
      <w:tblPr/>
      <w:tcPr>
        <w:tcBorders>
          <w:insideH w:val="single" w:sz="6" w:space="0" w:color="F68B1F" w:themeColor="accent3"/>
          <w:insideV w:val="single" w:sz="6" w:space="0" w:color="F68B1F" w:themeColor="accent3"/>
        </w:tcBorders>
        <w:shd w:val="clear" w:color="auto" w:fill="FAC58F"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9E007E" w:themeColor="accent4"/>
        <w:left w:val="single" w:sz="8" w:space="0" w:color="9E007E" w:themeColor="accent4"/>
        <w:bottom w:val="single" w:sz="8" w:space="0" w:color="9E007E" w:themeColor="accent4"/>
        <w:right w:val="single" w:sz="8" w:space="0" w:color="9E007E" w:themeColor="accent4"/>
        <w:insideH w:val="single" w:sz="8" w:space="0" w:color="9E007E" w:themeColor="accent4"/>
        <w:insideV w:val="single" w:sz="8" w:space="0" w:color="9E007E" w:themeColor="accent4"/>
      </w:tblBorders>
    </w:tblPr>
    <w:tcPr>
      <w:shd w:val="clear" w:color="auto" w:fill="FFA8ED" w:themeFill="accent4" w:themeFillTint="3F"/>
    </w:tcPr>
    <w:tblStylePr w:type="firstRow">
      <w:rPr>
        <w:b/>
        <w:bCs/>
        <w:color w:val="000000" w:themeColor="text1"/>
      </w:rPr>
      <w:tblPr/>
      <w:tcPr>
        <w:shd w:val="clear" w:color="auto" w:fill="FFDC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8F0" w:themeFill="accent4" w:themeFillTint="33"/>
      </w:tcPr>
    </w:tblStylePr>
    <w:tblStylePr w:type="band1Vert">
      <w:tblPr/>
      <w:tcPr>
        <w:shd w:val="clear" w:color="auto" w:fill="FF4FDB" w:themeFill="accent4" w:themeFillTint="7F"/>
      </w:tcPr>
    </w:tblStylePr>
    <w:tblStylePr w:type="band1Horz">
      <w:tblPr/>
      <w:tcPr>
        <w:tcBorders>
          <w:insideH w:val="single" w:sz="6" w:space="0" w:color="9E007E" w:themeColor="accent4"/>
          <w:insideV w:val="single" w:sz="6" w:space="0" w:color="9E007E" w:themeColor="accent4"/>
        </w:tcBorders>
        <w:shd w:val="clear" w:color="auto" w:fill="FF4FDB"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FFE512" w:themeColor="accent5"/>
        <w:left w:val="single" w:sz="8" w:space="0" w:color="FFE512" w:themeColor="accent5"/>
        <w:bottom w:val="single" w:sz="8" w:space="0" w:color="FFE512" w:themeColor="accent5"/>
        <w:right w:val="single" w:sz="8" w:space="0" w:color="FFE512" w:themeColor="accent5"/>
        <w:insideH w:val="single" w:sz="8" w:space="0" w:color="FFE512" w:themeColor="accent5"/>
        <w:insideV w:val="single" w:sz="8" w:space="0" w:color="FFE512" w:themeColor="accent5"/>
      </w:tblBorders>
    </w:tblPr>
    <w:tcPr>
      <w:shd w:val="clear" w:color="auto" w:fill="FFF8C4" w:themeFill="accent5" w:themeFillTint="3F"/>
    </w:tcPr>
    <w:tblStylePr w:type="firstRow">
      <w:rPr>
        <w:b/>
        <w:bCs/>
        <w:color w:val="000000" w:themeColor="text1"/>
      </w:rPr>
      <w:tblPr/>
      <w:tcPr>
        <w:shd w:val="clear" w:color="auto" w:fill="FFFCE7"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9CF" w:themeFill="accent5" w:themeFillTint="33"/>
      </w:tcPr>
    </w:tblStylePr>
    <w:tblStylePr w:type="band1Vert">
      <w:tblPr/>
      <w:tcPr>
        <w:shd w:val="clear" w:color="auto" w:fill="FFF288" w:themeFill="accent5" w:themeFillTint="7F"/>
      </w:tcPr>
    </w:tblStylePr>
    <w:tblStylePr w:type="band1Horz">
      <w:tblPr/>
      <w:tcPr>
        <w:tcBorders>
          <w:insideH w:val="single" w:sz="6" w:space="0" w:color="FFE512" w:themeColor="accent5"/>
          <w:insideV w:val="single" w:sz="6" w:space="0" w:color="FFE512" w:themeColor="accent5"/>
        </w:tcBorders>
        <w:shd w:val="clear" w:color="auto" w:fill="FFF288"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8C8279" w:themeColor="accent6"/>
        <w:left w:val="single" w:sz="8" w:space="0" w:color="8C8279" w:themeColor="accent6"/>
        <w:bottom w:val="single" w:sz="8" w:space="0" w:color="8C8279" w:themeColor="accent6"/>
        <w:right w:val="single" w:sz="8" w:space="0" w:color="8C8279" w:themeColor="accent6"/>
        <w:insideH w:val="single" w:sz="8" w:space="0" w:color="8C8279" w:themeColor="accent6"/>
        <w:insideV w:val="single" w:sz="8" w:space="0" w:color="8C8279" w:themeColor="accent6"/>
      </w:tblBorders>
    </w:tblPr>
    <w:tcPr>
      <w:shd w:val="clear" w:color="auto" w:fill="E2E0DD" w:themeFill="accent6" w:themeFillTint="3F"/>
    </w:tcPr>
    <w:tblStylePr w:type="firstRow">
      <w:rPr>
        <w:b/>
        <w:bCs/>
        <w:color w:val="000000" w:themeColor="text1"/>
      </w:rPr>
      <w:tblPr/>
      <w:tcPr>
        <w:shd w:val="clear" w:color="auto" w:fill="F3F2F1"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8E5E4" w:themeFill="accent6" w:themeFillTint="33"/>
      </w:tcPr>
    </w:tblStylePr>
    <w:tblStylePr w:type="band1Vert">
      <w:tblPr/>
      <w:tcPr>
        <w:shd w:val="clear" w:color="auto" w:fill="C5C0BC" w:themeFill="accent6" w:themeFillTint="7F"/>
      </w:tcPr>
    </w:tblStylePr>
    <w:tblStylePr w:type="band1Horz">
      <w:tblPr/>
      <w:tcPr>
        <w:tcBorders>
          <w:insideH w:val="single" w:sz="6" w:space="0" w:color="8C8279" w:themeColor="accent6"/>
          <w:insideV w:val="single" w:sz="6" w:space="0" w:color="8C8279" w:themeColor="accent6"/>
        </w:tcBorders>
        <w:shd w:val="clear" w:color="auto" w:fill="C5C0BC"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8F0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5E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5E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5E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5E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1E2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1E2FF" w:themeFill="accent1" w:themeFillTint="7F"/>
      </w:tcPr>
    </w:tblStylePr>
  </w:style>
  <w:style w:type="table" w:styleId="MediumGrid3-Accent2">
    <w:name w:val="Medium Grid 3 Accent 2"/>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7FFA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4BD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4BD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4BD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4BD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EFF5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EFF5F" w:themeFill="accent2" w:themeFillTint="7F"/>
      </w:tcPr>
    </w:tblStylePr>
  </w:style>
  <w:style w:type="table" w:styleId="MediumGrid3-Accent3">
    <w:name w:val="Medium Grid 3 Accent 3"/>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CE2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68B1F"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68B1F"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68B1F"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68B1F"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AC58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AC58F" w:themeFill="accent3" w:themeFillTint="7F"/>
      </w:tcPr>
    </w:tblStylePr>
  </w:style>
  <w:style w:type="table" w:styleId="MediumGrid3-Accent4">
    <w:name w:val="Medium Grid 3 Accent 4"/>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A8ED"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E007E"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E007E"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E007E"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E007E"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4FDB"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4FDB" w:themeFill="accent4" w:themeFillTint="7F"/>
      </w:tcPr>
    </w:tblStylePr>
  </w:style>
  <w:style w:type="table" w:styleId="MediumGrid3-Accent5">
    <w:name w:val="Medium Grid 3 Accent 5"/>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8C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E512"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E512"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E512"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E512"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F288"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F288" w:themeFill="accent5" w:themeFillTint="7F"/>
      </w:tcPr>
    </w:tblStylePr>
  </w:style>
  <w:style w:type="table" w:styleId="MediumGrid3-Accent6">
    <w:name w:val="Medium Grid 3 Accent 6"/>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2E0DD"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C8279"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C8279"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C8279"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C8279"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5C0BC"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5C0BC" w:themeFill="accent6" w:themeFillTint="7F"/>
      </w:tcPr>
    </w:tblStylePr>
  </w:style>
  <w:style w:type="table" w:styleId="MediumList1">
    <w:name w:val="Medium List 1"/>
    <w:basedOn w:val="TableNormal"/>
    <w:uiPriority w:val="65"/>
    <w:semiHidden/>
    <w:unhideWhenUsed/>
    <w:rsid w:val="009E6ED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000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9E6ED7"/>
    <w:rPr>
      <w:color w:val="000000" w:themeColor="text1"/>
    </w:rPr>
    <w:tblPr>
      <w:tblStyleRowBandSize w:val="1"/>
      <w:tblStyleColBandSize w:val="1"/>
      <w:tblBorders>
        <w:top w:val="single" w:sz="8" w:space="0" w:color="00B5E2" w:themeColor="accent1"/>
        <w:bottom w:val="single" w:sz="8" w:space="0" w:color="00B5E2" w:themeColor="accent1"/>
      </w:tblBorders>
    </w:tblPr>
    <w:tblStylePr w:type="firstRow">
      <w:rPr>
        <w:rFonts w:asciiTheme="majorHAnsi" w:eastAsiaTheme="majorEastAsia" w:hAnsiTheme="majorHAnsi" w:cstheme="majorBidi"/>
      </w:rPr>
      <w:tblPr/>
      <w:tcPr>
        <w:tcBorders>
          <w:top w:val="nil"/>
          <w:bottom w:val="single" w:sz="8" w:space="0" w:color="00B5E2" w:themeColor="accent1"/>
        </w:tcBorders>
      </w:tcPr>
    </w:tblStylePr>
    <w:tblStylePr w:type="lastRow">
      <w:rPr>
        <w:b/>
        <w:bCs/>
        <w:color w:val="000000" w:themeColor="text2"/>
      </w:rPr>
      <w:tblPr/>
      <w:tcPr>
        <w:tcBorders>
          <w:top w:val="single" w:sz="8" w:space="0" w:color="00B5E2" w:themeColor="accent1"/>
          <w:bottom w:val="single" w:sz="8" w:space="0" w:color="00B5E2" w:themeColor="accent1"/>
        </w:tcBorders>
      </w:tcPr>
    </w:tblStylePr>
    <w:tblStylePr w:type="firstCol">
      <w:rPr>
        <w:b/>
        <w:bCs/>
      </w:rPr>
    </w:tblStylePr>
    <w:tblStylePr w:type="lastCol">
      <w:rPr>
        <w:b/>
        <w:bCs/>
      </w:rPr>
      <w:tblPr/>
      <w:tcPr>
        <w:tcBorders>
          <w:top w:val="single" w:sz="8" w:space="0" w:color="00B5E2" w:themeColor="accent1"/>
          <w:bottom w:val="single" w:sz="8" w:space="0" w:color="00B5E2" w:themeColor="accent1"/>
        </w:tcBorders>
      </w:tcPr>
    </w:tblStylePr>
    <w:tblStylePr w:type="band1Vert">
      <w:tblPr/>
      <w:tcPr>
        <w:shd w:val="clear" w:color="auto" w:fill="B8F0FF" w:themeFill="accent1" w:themeFillTint="3F"/>
      </w:tcPr>
    </w:tblStylePr>
    <w:tblStylePr w:type="band1Horz">
      <w:tblPr/>
      <w:tcPr>
        <w:shd w:val="clear" w:color="auto" w:fill="B8F0FF" w:themeFill="accent1" w:themeFillTint="3F"/>
      </w:tcPr>
    </w:tblStylePr>
  </w:style>
  <w:style w:type="table" w:styleId="MediumList1-Accent2">
    <w:name w:val="Medium List 1 Accent 2"/>
    <w:basedOn w:val="TableNormal"/>
    <w:uiPriority w:val="65"/>
    <w:semiHidden/>
    <w:unhideWhenUsed/>
    <w:rsid w:val="009E6ED7"/>
    <w:rPr>
      <w:color w:val="000000" w:themeColor="text1"/>
    </w:rPr>
    <w:tblPr>
      <w:tblStyleRowBandSize w:val="1"/>
      <w:tblStyleColBandSize w:val="1"/>
      <w:tblBorders>
        <w:top w:val="single" w:sz="8" w:space="0" w:color="84BD00" w:themeColor="accent2"/>
        <w:bottom w:val="single" w:sz="8" w:space="0" w:color="84BD00" w:themeColor="accent2"/>
      </w:tblBorders>
    </w:tblPr>
    <w:tblStylePr w:type="firstRow">
      <w:rPr>
        <w:rFonts w:asciiTheme="majorHAnsi" w:eastAsiaTheme="majorEastAsia" w:hAnsiTheme="majorHAnsi" w:cstheme="majorBidi"/>
      </w:rPr>
      <w:tblPr/>
      <w:tcPr>
        <w:tcBorders>
          <w:top w:val="nil"/>
          <w:bottom w:val="single" w:sz="8" w:space="0" w:color="84BD00" w:themeColor="accent2"/>
        </w:tcBorders>
      </w:tcPr>
    </w:tblStylePr>
    <w:tblStylePr w:type="lastRow">
      <w:rPr>
        <w:b/>
        <w:bCs/>
        <w:color w:val="000000" w:themeColor="text2"/>
      </w:rPr>
      <w:tblPr/>
      <w:tcPr>
        <w:tcBorders>
          <w:top w:val="single" w:sz="8" w:space="0" w:color="84BD00" w:themeColor="accent2"/>
          <w:bottom w:val="single" w:sz="8" w:space="0" w:color="84BD00" w:themeColor="accent2"/>
        </w:tcBorders>
      </w:tcPr>
    </w:tblStylePr>
    <w:tblStylePr w:type="firstCol">
      <w:rPr>
        <w:b/>
        <w:bCs/>
      </w:rPr>
    </w:tblStylePr>
    <w:tblStylePr w:type="lastCol">
      <w:rPr>
        <w:b/>
        <w:bCs/>
      </w:rPr>
      <w:tblPr/>
      <w:tcPr>
        <w:tcBorders>
          <w:top w:val="single" w:sz="8" w:space="0" w:color="84BD00" w:themeColor="accent2"/>
          <w:bottom w:val="single" w:sz="8" w:space="0" w:color="84BD00" w:themeColor="accent2"/>
        </w:tcBorders>
      </w:tcPr>
    </w:tblStylePr>
    <w:tblStylePr w:type="band1Vert">
      <w:tblPr/>
      <w:tcPr>
        <w:shd w:val="clear" w:color="auto" w:fill="E7FFAF" w:themeFill="accent2" w:themeFillTint="3F"/>
      </w:tcPr>
    </w:tblStylePr>
    <w:tblStylePr w:type="band1Horz">
      <w:tblPr/>
      <w:tcPr>
        <w:shd w:val="clear" w:color="auto" w:fill="E7FFAF" w:themeFill="accent2" w:themeFillTint="3F"/>
      </w:tcPr>
    </w:tblStylePr>
  </w:style>
  <w:style w:type="table" w:styleId="MediumList1-Accent3">
    <w:name w:val="Medium List 1 Accent 3"/>
    <w:basedOn w:val="TableNormal"/>
    <w:uiPriority w:val="65"/>
    <w:semiHidden/>
    <w:unhideWhenUsed/>
    <w:rsid w:val="009E6ED7"/>
    <w:rPr>
      <w:color w:val="000000" w:themeColor="text1"/>
    </w:rPr>
    <w:tblPr>
      <w:tblStyleRowBandSize w:val="1"/>
      <w:tblStyleColBandSize w:val="1"/>
      <w:tblBorders>
        <w:top w:val="single" w:sz="8" w:space="0" w:color="F68B1F" w:themeColor="accent3"/>
        <w:bottom w:val="single" w:sz="8" w:space="0" w:color="F68B1F" w:themeColor="accent3"/>
      </w:tblBorders>
    </w:tblPr>
    <w:tblStylePr w:type="firstRow">
      <w:rPr>
        <w:rFonts w:asciiTheme="majorHAnsi" w:eastAsiaTheme="majorEastAsia" w:hAnsiTheme="majorHAnsi" w:cstheme="majorBidi"/>
      </w:rPr>
      <w:tblPr/>
      <w:tcPr>
        <w:tcBorders>
          <w:top w:val="nil"/>
          <w:bottom w:val="single" w:sz="8" w:space="0" w:color="F68B1F" w:themeColor="accent3"/>
        </w:tcBorders>
      </w:tcPr>
    </w:tblStylePr>
    <w:tblStylePr w:type="lastRow">
      <w:rPr>
        <w:b/>
        <w:bCs/>
        <w:color w:val="000000" w:themeColor="text2"/>
      </w:rPr>
      <w:tblPr/>
      <w:tcPr>
        <w:tcBorders>
          <w:top w:val="single" w:sz="8" w:space="0" w:color="F68B1F" w:themeColor="accent3"/>
          <w:bottom w:val="single" w:sz="8" w:space="0" w:color="F68B1F" w:themeColor="accent3"/>
        </w:tcBorders>
      </w:tcPr>
    </w:tblStylePr>
    <w:tblStylePr w:type="firstCol">
      <w:rPr>
        <w:b/>
        <w:bCs/>
      </w:rPr>
    </w:tblStylePr>
    <w:tblStylePr w:type="lastCol">
      <w:rPr>
        <w:b/>
        <w:bCs/>
      </w:rPr>
      <w:tblPr/>
      <w:tcPr>
        <w:tcBorders>
          <w:top w:val="single" w:sz="8" w:space="0" w:color="F68B1F" w:themeColor="accent3"/>
          <w:bottom w:val="single" w:sz="8" w:space="0" w:color="F68B1F" w:themeColor="accent3"/>
        </w:tcBorders>
      </w:tcPr>
    </w:tblStylePr>
    <w:tblStylePr w:type="band1Vert">
      <w:tblPr/>
      <w:tcPr>
        <w:shd w:val="clear" w:color="auto" w:fill="FCE2C7" w:themeFill="accent3" w:themeFillTint="3F"/>
      </w:tcPr>
    </w:tblStylePr>
    <w:tblStylePr w:type="band1Horz">
      <w:tblPr/>
      <w:tcPr>
        <w:shd w:val="clear" w:color="auto" w:fill="FCE2C7" w:themeFill="accent3" w:themeFillTint="3F"/>
      </w:tcPr>
    </w:tblStylePr>
  </w:style>
  <w:style w:type="table" w:styleId="MediumList1-Accent4">
    <w:name w:val="Medium List 1 Accent 4"/>
    <w:basedOn w:val="TableNormal"/>
    <w:uiPriority w:val="65"/>
    <w:semiHidden/>
    <w:unhideWhenUsed/>
    <w:rsid w:val="009E6ED7"/>
    <w:rPr>
      <w:color w:val="000000" w:themeColor="text1"/>
    </w:rPr>
    <w:tblPr>
      <w:tblStyleRowBandSize w:val="1"/>
      <w:tblStyleColBandSize w:val="1"/>
      <w:tblBorders>
        <w:top w:val="single" w:sz="8" w:space="0" w:color="9E007E" w:themeColor="accent4"/>
        <w:bottom w:val="single" w:sz="8" w:space="0" w:color="9E007E" w:themeColor="accent4"/>
      </w:tblBorders>
    </w:tblPr>
    <w:tblStylePr w:type="firstRow">
      <w:rPr>
        <w:rFonts w:asciiTheme="majorHAnsi" w:eastAsiaTheme="majorEastAsia" w:hAnsiTheme="majorHAnsi" w:cstheme="majorBidi"/>
      </w:rPr>
      <w:tblPr/>
      <w:tcPr>
        <w:tcBorders>
          <w:top w:val="nil"/>
          <w:bottom w:val="single" w:sz="8" w:space="0" w:color="9E007E" w:themeColor="accent4"/>
        </w:tcBorders>
      </w:tcPr>
    </w:tblStylePr>
    <w:tblStylePr w:type="lastRow">
      <w:rPr>
        <w:b/>
        <w:bCs/>
        <w:color w:val="000000" w:themeColor="text2"/>
      </w:rPr>
      <w:tblPr/>
      <w:tcPr>
        <w:tcBorders>
          <w:top w:val="single" w:sz="8" w:space="0" w:color="9E007E" w:themeColor="accent4"/>
          <w:bottom w:val="single" w:sz="8" w:space="0" w:color="9E007E" w:themeColor="accent4"/>
        </w:tcBorders>
      </w:tcPr>
    </w:tblStylePr>
    <w:tblStylePr w:type="firstCol">
      <w:rPr>
        <w:b/>
        <w:bCs/>
      </w:rPr>
    </w:tblStylePr>
    <w:tblStylePr w:type="lastCol">
      <w:rPr>
        <w:b/>
        <w:bCs/>
      </w:rPr>
      <w:tblPr/>
      <w:tcPr>
        <w:tcBorders>
          <w:top w:val="single" w:sz="8" w:space="0" w:color="9E007E" w:themeColor="accent4"/>
          <w:bottom w:val="single" w:sz="8" w:space="0" w:color="9E007E" w:themeColor="accent4"/>
        </w:tcBorders>
      </w:tcPr>
    </w:tblStylePr>
    <w:tblStylePr w:type="band1Vert">
      <w:tblPr/>
      <w:tcPr>
        <w:shd w:val="clear" w:color="auto" w:fill="FFA8ED" w:themeFill="accent4" w:themeFillTint="3F"/>
      </w:tcPr>
    </w:tblStylePr>
    <w:tblStylePr w:type="band1Horz">
      <w:tblPr/>
      <w:tcPr>
        <w:shd w:val="clear" w:color="auto" w:fill="FFA8ED" w:themeFill="accent4" w:themeFillTint="3F"/>
      </w:tcPr>
    </w:tblStylePr>
  </w:style>
  <w:style w:type="table" w:styleId="MediumList1-Accent5">
    <w:name w:val="Medium List 1 Accent 5"/>
    <w:basedOn w:val="TableNormal"/>
    <w:uiPriority w:val="65"/>
    <w:semiHidden/>
    <w:unhideWhenUsed/>
    <w:rsid w:val="009E6ED7"/>
    <w:rPr>
      <w:color w:val="000000" w:themeColor="text1"/>
    </w:rPr>
    <w:tblPr>
      <w:tblStyleRowBandSize w:val="1"/>
      <w:tblStyleColBandSize w:val="1"/>
      <w:tblBorders>
        <w:top w:val="single" w:sz="8" w:space="0" w:color="FFE512" w:themeColor="accent5"/>
        <w:bottom w:val="single" w:sz="8" w:space="0" w:color="FFE512" w:themeColor="accent5"/>
      </w:tblBorders>
    </w:tblPr>
    <w:tblStylePr w:type="firstRow">
      <w:rPr>
        <w:rFonts w:asciiTheme="majorHAnsi" w:eastAsiaTheme="majorEastAsia" w:hAnsiTheme="majorHAnsi" w:cstheme="majorBidi"/>
      </w:rPr>
      <w:tblPr/>
      <w:tcPr>
        <w:tcBorders>
          <w:top w:val="nil"/>
          <w:bottom w:val="single" w:sz="8" w:space="0" w:color="FFE512" w:themeColor="accent5"/>
        </w:tcBorders>
      </w:tcPr>
    </w:tblStylePr>
    <w:tblStylePr w:type="lastRow">
      <w:rPr>
        <w:b/>
        <w:bCs/>
        <w:color w:val="000000" w:themeColor="text2"/>
      </w:rPr>
      <w:tblPr/>
      <w:tcPr>
        <w:tcBorders>
          <w:top w:val="single" w:sz="8" w:space="0" w:color="FFE512" w:themeColor="accent5"/>
          <w:bottom w:val="single" w:sz="8" w:space="0" w:color="FFE512" w:themeColor="accent5"/>
        </w:tcBorders>
      </w:tcPr>
    </w:tblStylePr>
    <w:tblStylePr w:type="firstCol">
      <w:rPr>
        <w:b/>
        <w:bCs/>
      </w:rPr>
    </w:tblStylePr>
    <w:tblStylePr w:type="lastCol">
      <w:rPr>
        <w:b/>
        <w:bCs/>
      </w:rPr>
      <w:tblPr/>
      <w:tcPr>
        <w:tcBorders>
          <w:top w:val="single" w:sz="8" w:space="0" w:color="FFE512" w:themeColor="accent5"/>
          <w:bottom w:val="single" w:sz="8" w:space="0" w:color="FFE512" w:themeColor="accent5"/>
        </w:tcBorders>
      </w:tcPr>
    </w:tblStylePr>
    <w:tblStylePr w:type="band1Vert">
      <w:tblPr/>
      <w:tcPr>
        <w:shd w:val="clear" w:color="auto" w:fill="FFF8C4" w:themeFill="accent5" w:themeFillTint="3F"/>
      </w:tcPr>
    </w:tblStylePr>
    <w:tblStylePr w:type="band1Horz">
      <w:tblPr/>
      <w:tcPr>
        <w:shd w:val="clear" w:color="auto" w:fill="FFF8C4" w:themeFill="accent5" w:themeFillTint="3F"/>
      </w:tcPr>
    </w:tblStylePr>
  </w:style>
  <w:style w:type="table" w:styleId="MediumList1-Accent6">
    <w:name w:val="Medium List 1 Accent 6"/>
    <w:basedOn w:val="TableNormal"/>
    <w:uiPriority w:val="65"/>
    <w:semiHidden/>
    <w:unhideWhenUsed/>
    <w:rsid w:val="009E6ED7"/>
    <w:rPr>
      <w:color w:val="000000" w:themeColor="text1"/>
    </w:rPr>
    <w:tblPr>
      <w:tblStyleRowBandSize w:val="1"/>
      <w:tblStyleColBandSize w:val="1"/>
      <w:tblBorders>
        <w:top w:val="single" w:sz="8" w:space="0" w:color="8C8279" w:themeColor="accent6"/>
        <w:bottom w:val="single" w:sz="8" w:space="0" w:color="8C8279" w:themeColor="accent6"/>
      </w:tblBorders>
    </w:tblPr>
    <w:tblStylePr w:type="firstRow">
      <w:rPr>
        <w:rFonts w:asciiTheme="majorHAnsi" w:eastAsiaTheme="majorEastAsia" w:hAnsiTheme="majorHAnsi" w:cstheme="majorBidi"/>
      </w:rPr>
      <w:tblPr/>
      <w:tcPr>
        <w:tcBorders>
          <w:top w:val="nil"/>
          <w:bottom w:val="single" w:sz="8" w:space="0" w:color="8C8279" w:themeColor="accent6"/>
        </w:tcBorders>
      </w:tcPr>
    </w:tblStylePr>
    <w:tblStylePr w:type="lastRow">
      <w:rPr>
        <w:b/>
        <w:bCs/>
        <w:color w:val="000000" w:themeColor="text2"/>
      </w:rPr>
      <w:tblPr/>
      <w:tcPr>
        <w:tcBorders>
          <w:top w:val="single" w:sz="8" w:space="0" w:color="8C8279" w:themeColor="accent6"/>
          <w:bottom w:val="single" w:sz="8" w:space="0" w:color="8C8279" w:themeColor="accent6"/>
        </w:tcBorders>
      </w:tcPr>
    </w:tblStylePr>
    <w:tblStylePr w:type="firstCol">
      <w:rPr>
        <w:b/>
        <w:bCs/>
      </w:rPr>
    </w:tblStylePr>
    <w:tblStylePr w:type="lastCol">
      <w:rPr>
        <w:b/>
        <w:bCs/>
      </w:rPr>
      <w:tblPr/>
      <w:tcPr>
        <w:tcBorders>
          <w:top w:val="single" w:sz="8" w:space="0" w:color="8C8279" w:themeColor="accent6"/>
          <w:bottom w:val="single" w:sz="8" w:space="0" w:color="8C8279" w:themeColor="accent6"/>
        </w:tcBorders>
      </w:tcPr>
    </w:tblStylePr>
    <w:tblStylePr w:type="band1Vert">
      <w:tblPr/>
      <w:tcPr>
        <w:shd w:val="clear" w:color="auto" w:fill="E2E0DD" w:themeFill="accent6" w:themeFillTint="3F"/>
      </w:tcPr>
    </w:tblStylePr>
    <w:tblStylePr w:type="band1Horz">
      <w:tblPr/>
      <w:tcPr>
        <w:shd w:val="clear" w:color="auto" w:fill="E2E0DD" w:themeFill="accent6" w:themeFillTint="3F"/>
      </w:tcPr>
    </w:tblStylePr>
  </w:style>
  <w:style w:type="table" w:styleId="MediumList2">
    <w:name w:val="Medium List 2"/>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B5E2" w:themeColor="accent1"/>
        <w:left w:val="single" w:sz="8" w:space="0" w:color="00B5E2" w:themeColor="accent1"/>
        <w:bottom w:val="single" w:sz="8" w:space="0" w:color="00B5E2" w:themeColor="accent1"/>
        <w:right w:val="single" w:sz="8" w:space="0" w:color="00B5E2" w:themeColor="accent1"/>
      </w:tblBorders>
    </w:tblPr>
    <w:tblStylePr w:type="firstRow">
      <w:rPr>
        <w:sz w:val="24"/>
        <w:szCs w:val="24"/>
      </w:rPr>
      <w:tblPr/>
      <w:tcPr>
        <w:tcBorders>
          <w:top w:val="nil"/>
          <w:left w:val="nil"/>
          <w:bottom w:val="single" w:sz="24" w:space="0" w:color="00B5E2" w:themeColor="accent1"/>
          <w:right w:val="nil"/>
          <w:insideH w:val="nil"/>
          <w:insideV w:val="nil"/>
        </w:tcBorders>
        <w:shd w:val="clear" w:color="auto" w:fill="FFFFFF" w:themeFill="background1"/>
      </w:tcPr>
    </w:tblStylePr>
    <w:tblStylePr w:type="lastRow">
      <w:tblPr/>
      <w:tcPr>
        <w:tcBorders>
          <w:top w:val="single" w:sz="8" w:space="0" w:color="00B5E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5E2" w:themeColor="accent1"/>
          <w:insideH w:val="nil"/>
          <w:insideV w:val="nil"/>
        </w:tcBorders>
        <w:shd w:val="clear" w:color="auto" w:fill="FFFFFF" w:themeFill="background1"/>
      </w:tcPr>
    </w:tblStylePr>
    <w:tblStylePr w:type="lastCol">
      <w:tblPr/>
      <w:tcPr>
        <w:tcBorders>
          <w:top w:val="nil"/>
          <w:left w:val="single" w:sz="8" w:space="0" w:color="00B5E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8F0FF" w:themeFill="accent1" w:themeFillTint="3F"/>
      </w:tcPr>
    </w:tblStylePr>
    <w:tblStylePr w:type="band1Horz">
      <w:tblPr/>
      <w:tcPr>
        <w:tcBorders>
          <w:top w:val="nil"/>
          <w:bottom w:val="nil"/>
          <w:insideH w:val="nil"/>
          <w:insideV w:val="nil"/>
        </w:tcBorders>
        <w:shd w:val="clear" w:color="auto" w:fill="B8F0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84BD00" w:themeColor="accent2"/>
        <w:left w:val="single" w:sz="8" w:space="0" w:color="84BD00" w:themeColor="accent2"/>
        <w:bottom w:val="single" w:sz="8" w:space="0" w:color="84BD00" w:themeColor="accent2"/>
        <w:right w:val="single" w:sz="8" w:space="0" w:color="84BD00" w:themeColor="accent2"/>
      </w:tblBorders>
    </w:tblPr>
    <w:tblStylePr w:type="firstRow">
      <w:rPr>
        <w:sz w:val="24"/>
        <w:szCs w:val="24"/>
      </w:rPr>
      <w:tblPr/>
      <w:tcPr>
        <w:tcBorders>
          <w:top w:val="nil"/>
          <w:left w:val="nil"/>
          <w:bottom w:val="single" w:sz="24" w:space="0" w:color="84BD00" w:themeColor="accent2"/>
          <w:right w:val="nil"/>
          <w:insideH w:val="nil"/>
          <w:insideV w:val="nil"/>
        </w:tcBorders>
        <w:shd w:val="clear" w:color="auto" w:fill="FFFFFF" w:themeFill="background1"/>
      </w:tcPr>
    </w:tblStylePr>
    <w:tblStylePr w:type="lastRow">
      <w:tblPr/>
      <w:tcPr>
        <w:tcBorders>
          <w:top w:val="single" w:sz="8" w:space="0" w:color="84BD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4BD00" w:themeColor="accent2"/>
          <w:insideH w:val="nil"/>
          <w:insideV w:val="nil"/>
        </w:tcBorders>
        <w:shd w:val="clear" w:color="auto" w:fill="FFFFFF" w:themeFill="background1"/>
      </w:tcPr>
    </w:tblStylePr>
    <w:tblStylePr w:type="lastCol">
      <w:tblPr/>
      <w:tcPr>
        <w:tcBorders>
          <w:top w:val="nil"/>
          <w:left w:val="single" w:sz="8" w:space="0" w:color="84BD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7FFAF" w:themeFill="accent2" w:themeFillTint="3F"/>
      </w:tcPr>
    </w:tblStylePr>
    <w:tblStylePr w:type="band1Horz">
      <w:tblPr/>
      <w:tcPr>
        <w:tcBorders>
          <w:top w:val="nil"/>
          <w:bottom w:val="nil"/>
          <w:insideH w:val="nil"/>
          <w:insideV w:val="nil"/>
        </w:tcBorders>
        <w:shd w:val="clear" w:color="auto" w:fill="E7FFA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F68B1F" w:themeColor="accent3"/>
        <w:left w:val="single" w:sz="8" w:space="0" w:color="F68B1F" w:themeColor="accent3"/>
        <w:bottom w:val="single" w:sz="8" w:space="0" w:color="F68B1F" w:themeColor="accent3"/>
        <w:right w:val="single" w:sz="8" w:space="0" w:color="F68B1F" w:themeColor="accent3"/>
      </w:tblBorders>
    </w:tblPr>
    <w:tblStylePr w:type="firstRow">
      <w:rPr>
        <w:sz w:val="24"/>
        <w:szCs w:val="24"/>
      </w:rPr>
      <w:tblPr/>
      <w:tcPr>
        <w:tcBorders>
          <w:top w:val="nil"/>
          <w:left w:val="nil"/>
          <w:bottom w:val="single" w:sz="24" w:space="0" w:color="F68B1F" w:themeColor="accent3"/>
          <w:right w:val="nil"/>
          <w:insideH w:val="nil"/>
          <w:insideV w:val="nil"/>
        </w:tcBorders>
        <w:shd w:val="clear" w:color="auto" w:fill="FFFFFF" w:themeFill="background1"/>
      </w:tcPr>
    </w:tblStylePr>
    <w:tblStylePr w:type="lastRow">
      <w:tblPr/>
      <w:tcPr>
        <w:tcBorders>
          <w:top w:val="single" w:sz="8" w:space="0" w:color="F68B1F"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68B1F" w:themeColor="accent3"/>
          <w:insideH w:val="nil"/>
          <w:insideV w:val="nil"/>
        </w:tcBorders>
        <w:shd w:val="clear" w:color="auto" w:fill="FFFFFF" w:themeFill="background1"/>
      </w:tcPr>
    </w:tblStylePr>
    <w:tblStylePr w:type="lastCol">
      <w:tblPr/>
      <w:tcPr>
        <w:tcBorders>
          <w:top w:val="nil"/>
          <w:left w:val="single" w:sz="8" w:space="0" w:color="F68B1F"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CE2C7" w:themeFill="accent3" w:themeFillTint="3F"/>
      </w:tcPr>
    </w:tblStylePr>
    <w:tblStylePr w:type="band1Horz">
      <w:tblPr/>
      <w:tcPr>
        <w:tcBorders>
          <w:top w:val="nil"/>
          <w:bottom w:val="nil"/>
          <w:insideH w:val="nil"/>
          <w:insideV w:val="nil"/>
        </w:tcBorders>
        <w:shd w:val="clear" w:color="auto" w:fill="FCE2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9E007E" w:themeColor="accent4"/>
        <w:left w:val="single" w:sz="8" w:space="0" w:color="9E007E" w:themeColor="accent4"/>
        <w:bottom w:val="single" w:sz="8" w:space="0" w:color="9E007E" w:themeColor="accent4"/>
        <w:right w:val="single" w:sz="8" w:space="0" w:color="9E007E" w:themeColor="accent4"/>
      </w:tblBorders>
    </w:tblPr>
    <w:tblStylePr w:type="firstRow">
      <w:rPr>
        <w:sz w:val="24"/>
        <w:szCs w:val="24"/>
      </w:rPr>
      <w:tblPr/>
      <w:tcPr>
        <w:tcBorders>
          <w:top w:val="nil"/>
          <w:left w:val="nil"/>
          <w:bottom w:val="single" w:sz="24" w:space="0" w:color="9E007E" w:themeColor="accent4"/>
          <w:right w:val="nil"/>
          <w:insideH w:val="nil"/>
          <w:insideV w:val="nil"/>
        </w:tcBorders>
        <w:shd w:val="clear" w:color="auto" w:fill="FFFFFF" w:themeFill="background1"/>
      </w:tcPr>
    </w:tblStylePr>
    <w:tblStylePr w:type="lastRow">
      <w:tblPr/>
      <w:tcPr>
        <w:tcBorders>
          <w:top w:val="single" w:sz="8" w:space="0" w:color="9E007E"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E007E" w:themeColor="accent4"/>
          <w:insideH w:val="nil"/>
          <w:insideV w:val="nil"/>
        </w:tcBorders>
        <w:shd w:val="clear" w:color="auto" w:fill="FFFFFF" w:themeFill="background1"/>
      </w:tcPr>
    </w:tblStylePr>
    <w:tblStylePr w:type="lastCol">
      <w:tblPr/>
      <w:tcPr>
        <w:tcBorders>
          <w:top w:val="nil"/>
          <w:left w:val="single" w:sz="8" w:space="0" w:color="9E007E"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A8ED" w:themeFill="accent4" w:themeFillTint="3F"/>
      </w:tcPr>
    </w:tblStylePr>
    <w:tblStylePr w:type="band1Horz">
      <w:tblPr/>
      <w:tcPr>
        <w:tcBorders>
          <w:top w:val="nil"/>
          <w:bottom w:val="nil"/>
          <w:insideH w:val="nil"/>
          <w:insideV w:val="nil"/>
        </w:tcBorders>
        <w:shd w:val="clear" w:color="auto" w:fill="FFA8ED"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FFE512" w:themeColor="accent5"/>
        <w:left w:val="single" w:sz="8" w:space="0" w:color="FFE512" w:themeColor="accent5"/>
        <w:bottom w:val="single" w:sz="8" w:space="0" w:color="FFE512" w:themeColor="accent5"/>
        <w:right w:val="single" w:sz="8" w:space="0" w:color="FFE512" w:themeColor="accent5"/>
      </w:tblBorders>
    </w:tblPr>
    <w:tblStylePr w:type="firstRow">
      <w:rPr>
        <w:sz w:val="24"/>
        <w:szCs w:val="24"/>
      </w:rPr>
      <w:tblPr/>
      <w:tcPr>
        <w:tcBorders>
          <w:top w:val="nil"/>
          <w:left w:val="nil"/>
          <w:bottom w:val="single" w:sz="24" w:space="0" w:color="FFE512" w:themeColor="accent5"/>
          <w:right w:val="nil"/>
          <w:insideH w:val="nil"/>
          <w:insideV w:val="nil"/>
        </w:tcBorders>
        <w:shd w:val="clear" w:color="auto" w:fill="FFFFFF" w:themeFill="background1"/>
      </w:tcPr>
    </w:tblStylePr>
    <w:tblStylePr w:type="lastRow">
      <w:tblPr/>
      <w:tcPr>
        <w:tcBorders>
          <w:top w:val="single" w:sz="8" w:space="0" w:color="FFE512"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E512" w:themeColor="accent5"/>
          <w:insideH w:val="nil"/>
          <w:insideV w:val="nil"/>
        </w:tcBorders>
        <w:shd w:val="clear" w:color="auto" w:fill="FFFFFF" w:themeFill="background1"/>
      </w:tcPr>
    </w:tblStylePr>
    <w:tblStylePr w:type="lastCol">
      <w:tblPr/>
      <w:tcPr>
        <w:tcBorders>
          <w:top w:val="nil"/>
          <w:left w:val="single" w:sz="8" w:space="0" w:color="FFE512"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8C4" w:themeFill="accent5" w:themeFillTint="3F"/>
      </w:tcPr>
    </w:tblStylePr>
    <w:tblStylePr w:type="band1Horz">
      <w:tblPr/>
      <w:tcPr>
        <w:tcBorders>
          <w:top w:val="nil"/>
          <w:bottom w:val="nil"/>
          <w:insideH w:val="nil"/>
          <w:insideV w:val="nil"/>
        </w:tcBorders>
        <w:shd w:val="clear" w:color="auto" w:fill="FFF8C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8C8279" w:themeColor="accent6"/>
        <w:left w:val="single" w:sz="8" w:space="0" w:color="8C8279" w:themeColor="accent6"/>
        <w:bottom w:val="single" w:sz="8" w:space="0" w:color="8C8279" w:themeColor="accent6"/>
        <w:right w:val="single" w:sz="8" w:space="0" w:color="8C8279" w:themeColor="accent6"/>
      </w:tblBorders>
    </w:tblPr>
    <w:tblStylePr w:type="firstRow">
      <w:rPr>
        <w:sz w:val="24"/>
        <w:szCs w:val="24"/>
      </w:rPr>
      <w:tblPr/>
      <w:tcPr>
        <w:tcBorders>
          <w:top w:val="nil"/>
          <w:left w:val="nil"/>
          <w:bottom w:val="single" w:sz="24" w:space="0" w:color="8C8279" w:themeColor="accent6"/>
          <w:right w:val="nil"/>
          <w:insideH w:val="nil"/>
          <w:insideV w:val="nil"/>
        </w:tcBorders>
        <w:shd w:val="clear" w:color="auto" w:fill="FFFFFF" w:themeFill="background1"/>
      </w:tcPr>
    </w:tblStylePr>
    <w:tblStylePr w:type="lastRow">
      <w:tblPr/>
      <w:tcPr>
        <w:tcBorders>
          <w:top w:val="single" w:sz="8" w:space="0" w:color="8C8279"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C8279" w:themeColor="accent6"/>
          <w:insideH w:val="nil"/>
          <w:insideV w:val="nil"/>
        </w:tcBorders>
        <w:shd w:val="clear" w:color="auto" w:fill="FFFFFF" w:themeFill="background1"/>
      </w:tcPr>
    </w:tblStylePr>
    <w:tblStylePr w:type="lastCol">
      <w:tblPr/>
      <w:tcPr>
        <w:tcBorders>
          <w:top w:val="nil"/>
          <w:left w:val="single" w:sz="8" w:space="0" w:color="8C8279"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2E0DD" w:themeFill="accent6" w:themeFillTint="3F"/>
      </w:tcPr>
    </w:tblStylePr>
    <w:tblStylePr w:type="band1Horz">
      <w:tblPr/>
      <w:tcPr>
        <w:tcBorders>
          <w:top w:val="nil"/>
          <w:bottom w:val="nil"/>
          <w:insideH w:val="nil"/>
          <w:insideV w:val="nil"/>
        </w:tcBorders>
        <w:shd w:val="clear" w:color="auto" w:fill="E2E0DD"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9E6ED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9E6ED7"/>
    <w:tblPr>
      <w:tblStyleRowBandSize w:val="1"/>
      <w:tblStyleColBandSize w:val="1"/>
      <w:tblBorders>
        <w:top w:val="single" w:sz="8" w:space="0" w:color="2AD4FF" w:themeColor="accent1" w:themeTint="BF"/>
        <w:left w:val="single" w:sz="8" w:space="0" w:color="2AD4FF" w:themeColor="accent1" w:themeTint="BF"/>
        <w:bottom w:val="single" w:sz="8" w:space="0" w:color="2AD4FF" w:themeColor="accent1" w:themeTint="BF"/>
        <w:right w:val="single" w:sz="8" w:space="0" w:color="2AD4FF" w:themeColor="accent1" w:themeTint="BF"/>
        <w:insideH w:val="single" w:sz="8" w:space="0" w:color="2AD4FF" w:themeColor="accent1" w:themeTint="BF"/>
      </w:tblBorders>
    </w:tblPr>
    <w:tblStylePr w:type="firstRow">
      <w:pPr>
        <w:spacing w:before="0" w:after="0" w:line="240" w:lineRule="auto"/>
      </w:pPr>
      <w:rPr>
        <w:b/>
        <w:bCs/>
        <w:color w:val="FFFFFF" w:themeColor="background1"/>
      </w:rPr>
      <w:tblPr/>
      <w:tcPr>
        <w:tcBorders>
          <w:top w:val="single" w:sz="8" w:space="0" w:color="2AD4FF" w:themeColor="accent1" w:themeTint="BF"/>
          <w:left w:val="single" w:sz="8" w:space="0" w:color="2AD4FF" w:themeColor="accent1" w:themeTint="BF"/>
          <w:bottom w:val="single" w:sz="8" w:space="0" w:color="2AD4FF" w:themeColor="accent1" w:themeTint="BF"/>
          <w:right w:val="single" w:sz="8" w:space="0" w:color="2AD4FF" w:themeColor="accent1" w:themeTint="BF"/>
          <w:insideH w:val="nil"/>
          <w:insideV w:val="nil"/>
        </w:tcBorders>
        <w:shd w:val="clear" w:color="auto" w:fill="00B5E2" w:themeFill="accent1"/>
      </w:tcPr>
    </w:tblStylePr>
    <w:tblStylePr w:type="lastRow">
      <w:pPr>
        <w:spacing w:before="0" w:after="0" w:line="240" w:lineRule="auto"/>
      </w:pPr>
      <w:rPr>
        <w:b/>
        <w:bCs/>
      </w:rPr>
      <w:tblPr/>
      <w:tcPr>
        <w:tcBorders>
          <w:top w:val="double" w:sz="6" w:space="0" w:color="2AD4FF" w:themeColor="accent1" w:themeTint="BF"/>
          <w:left w:val="single" w:sz="8" w:space="0" w:color="2AD4FF" w:themeColor="accent1" w:themeTint="BF"/>
          <w:bottom w:val="single" w:sz="8" w:space="0" w:color="2AD4FF" w:themeColor="accent1" w:themeTint="BF"/>
          <w:right w:val="single" w:sz="8" w:space="0" w:color="2AD4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8F0FF" w:themeFill="accent1" w:themeFillTint="3F"/>
      </w:tcPr>
    </w:tblStylePr>
    <w:tblStylePr w:type="band1Horz">
      <w:tblPr/>
      <w:tcPr>
        <w:tcBorders>
          <w:insideH w:val="nil"/>
          <w:insideV w:val="nil"/>
        </w:tcBorders>
        <w:shd w:val="clear" w:color="auto" w:fill="B8F0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9E6ED7"/>
    <w:tblPr>
      <w:tblStyleRowBandSize w:val="1"/>
      <w:tblStyleColBandSize w:val="1"/>
      <w:tblBorders>
        <w:top w:val="single" w:sz="8" w:space="0" w:color="B6FF0E" w:themeColor="accent2" w:themeTint="BF"/>
        <w:left w:val="single" w:sz="8" w:space="0" w:color="B6FF0E" w:themeColor="accent2" w:themeTint="BF"/>
        <w:bottom w:val="single" w:sz="8" w:space="0" w:color="B6FF0E" w:themeColor="accent2" w:themeTint="BF"/>
        <w:right w:val="single" w:sz="8" w:space="0" w:color="B6FF0E" w:themeColor="accent2" w:themeTint="BF"/>
        <w:insideH w:val="single" w:sz="8" w:space="0" w:color="B6FF0E" w:themeColor="accent2" w:themeTint="BF"/>
      </w:tblBorders>
    </w:tblPr>
    <w:tblStylePr w:type="firstRow">
      <w:pPr>
        <w:spacing w:before="0" w:after="0" w:line="240" w:lineRule="auto"/>
      </w:pPr>
      <w:rPr>
        <w:b/>
        <w:bCs/>
        <w:color w:val="FFFFFF" w:themeColor="background1"/>
      </w:rPr>
      <w:tblPr/>
      <w:tcPr>
        <w:tcBorders>
          <w:top w:val="single" w:sz="8" w:space="0" w:color="B6FF0E" w:themeColor="accent2" w:themeTint="BF"/>
          <w:left w:val="single" w:sz="8" w:space="0" w:color="B6FF0E" w:themeColor="accent2" w:themeTint="BF"/>
          <w:bottom w:val="single" w:sz="8" w:space="0" w:color="B6FF0E" w:themeColor="accent2" w:themeTint="BF"/>
          <w:right w:val="single" w:sz="8" w:space="0" w:color="B6FF0E" w:themeColor="accent2" w:themeTint="BF"/>
          <w:insideH w:val="nil"/>
          <w:insideV w:val="nil"/>
        </w:tcBorders>
        <w:shd w:val="clear" w:color="auto" w:fill="84BD00" w:themeFill="accent2"/>
      </w:tcPr>
    </w:tblStylePr>
    <w:tblStylePr w:type="lastRow">
      <w:pPr>
        <w:spacing w:before="0" w:after="0" w:line="240" w:lineRule="auto"/>
      </w:pPr>
      <w:rPr>
        <w:b/>
        <w:bCs/>
      </w:rPr>
      <w:tblPr/>
      <w:tcPr>
        <w:tcBorders>
          <w:top w:val="double" w:sz="6" w:space="0" w:color="B6FF0E" w:themeColor="accent2" w:themeTint="BF"/>
          <w:left w:val="single" w:sz="8" w:space="0" w:color="B6FF0E" w:themeColor="accent2" w:themeTint="BF"/>
          <w:bottom w:val="single" w:sz="8" w:space="0" w:color="B6FF0E" w:themeColor="accent2" w:themeTint="BF"/>
          <w:right w:val="single" w:sz="8" w:space="0" w:color="B6FF0E" w:themeColor="accent2" w:themeTint="BF"/>
          <w:insideH w:val="nil"/>
          <w:insideV w:val="nil"/>
        </w:tcBorders>
      </w:tcPr>
    </w:tblStylePr>
    <w:tblStylePr w:type="firstCol">
      <w:rPr>
        <w:b/>
        <w:bCs/>
      </w:rPr>
    </w:tblStylePr>
    <w:tblStylePr w:type="lastCol">
      <w:rPr>
        <w:b/>
        <w:bCs/>
      </w:rPr>
    </w:tblStylePr>
    <w:tblStylePr w:type="band1Vert">
      <w:tblPr/>
      <w:tcPr>
        <w:shd w:val="clear" w:color="auto" w:fill="E7FFAF" w:themeFill="accent2" w:themeFillTint="3F"/>
      </w:tcPr>
    </w:tblStylePr>
    <w:tblStylePr w:type="band1Horz">
      <w:tblPr/>
      <w:tcPr>
        <w:tcBorders>
          <w:insideH w:val="nil"/>
          <w:insideV w:val="nil"/>
        </w:tcBorders>
        <w:shd w:val="clear" w:color="auto" w:fill="E7FFA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9E6ED7"/>
    <w:tblPr>
      <w:tblStyleRowBandSize w:val="1"/>
      <w:tblStyleColBandSize w:val="1"/>
      <w:tblBorders>
        <w:top w:val="single" w:sz="8" w:space="0" w:color="F8A757" w:themeColor="accent3" w:themeTint="BF"/>
        <w:left w:val="single" w:sz="8" w:space="0" w:color="F8A757" w:themeColor="accent3" w:themeTint="BF"/>
        <w:bottom w:val="single" w:sz="8" w:space="0" w:color="F8A757" w:themeColor="accent3" w:themeTint="BF"/>
        <w:right w:val="single" w:sz="8" w:space="0" w:color="F8A757" w:themeColor="accent3" w:themeTint="BF"/>
        <w:insideH w:val="single" w:sz="8" w:space="0" w:color="F8A757" w:themeColor="accent3" w:themeTint="BF"/>
      </w:tblBorders>
    </w:tblPr>
    <w:tblStylePr w:type="firstRow">
      <w:pPr>
        <w:spacing w:before="0" w:after="0" w:line="240" w:lineRule="auto"/>
      </w:pPr>
      <w:rPr>
        <w:b/>
        <w:bCs/>
        <w:color w:val="FFFFFF" w:themeColor="background1"/>
      </w:rPr>
      <w:tblPr/>
      <w:tcPr>
        <w:tcBorders>
          <w:top w:val="single" w:sz="8" w:space="0" w:color="F8A757" w:themeColor="accent3" w:themeTint="BF"/>
          <w:left w:val="single" w:sz="8" w:space="0" w:color="F8A757" w:themeColor="accent3" w:themeTint="BF"/>
          <w:bottom w:val="single" w:sz="8" w:space="0" w:color="F8A757" w:themeColor="accent3" w:themeTint="BF"/>
          <w:right w:val="single" w:sz="8" w:space="0" w:color="F8A757" w:themeColor="accent3" w:themeTint="BF"/>
          <w:insideH w:val="nil"/>
          <w:insideV w:val="nil"/>
        </w:tcBorders>
        <w:shd w:val="clear" w:color="auto" w:fill="F68B1F" w:themeFill="accent3"/>
      </w:tcPr>
    </w:tblStylePr>
    <w:tblStylePr w:type="lastRow">
      <w:pPr>
        <w:spacing w:before="0" w:after="0" w:line="240" w:lineRule="auto"/>
      </w:pPr>
      <w:rPr>
        <w:b/>
        <w:bCs/>
      </w:rPr>
      <w:tblPr/>
      <w:tcPr>
        <w:tcBorders>
          <w:top w:val="double" w:sz="6" w:space="0" w:color="F8A757" w:themeColor="accent3" w:themeTint="BF"/>
          <w:left w:val="single" w:sz="8" w:space="0" w:color="F8A757" w:themeColor="accent3" w:themeTint="BF"/>
          <w:bottom w:val="single" w:sz="8" w:space="0" w:color="F8A757" w:themeColor="accent3" w:themeTint="BF"/>
          <w:right w:val="single" w:sz="8" w:space="0" w:color="F8A757" w:themeColor="accent3" w:themeTint="BF"/>
          <w:insideH w:val="nil"/>
          <w:insideV w:val="nil"/>
        </w:tcBorders>
      </w:tcPr>
    </w:tblStylePr>
    <w:tblStylePr w:type="firstCol">
      <w:rPr>
        <w:b/>
        <w:bCs/>
      </w:rPr>
    </w:tblStylePr>
    <w:tblStylePr w:type="lastCol">
      <w:rPr>
        <w:b/>
        <w:bCs/>
      </w:rPr>
    </w:tblStylePr>
    <w:tblStylePr w:type="band1Vert">
      <w:tblPr/>
      <w:tcPr>
        <w:shd w:val="clear" w:color="auto" w:fill="FCE2C7" w:themeFill="accent3" w:themeFillTint="3F"/>
      </w:tcPr>
    </w:tblStylePr>
    <w:tblStylePr w:type="band1Horz">
      <w:tblPr/>
      <w:tcPr>
        <w:tcBorders>
          <w:insideH w:val="nil"/>
          <w:insideV w:val="nil"/>
        </w:tcBorders>
        <w:shd w:val="clear" w:color="auto" w:fill="FCE2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9E6ED7"/>
    <w:tblPr>
      <w:tblStyleRowBandSize w:val="1"/>
      <w:tblStyleColBandSize w:val="1"/>
      <w:tblBorders>
        <w:top w:val="single" w:sz="8" w:space="0" w:color="F600C4" w:themeColor="accent4" w:themeTint="BF"/>
        <w:left w:val="single" w:sz="8" w:space="0" w:color="F600C4" w:themeColor="accent4" w:themeTint="BF"/>
        <w:bottom w:val="single" w:sz="8" w:space="0" w:color="F600C4" w:themeColor="accent4" w:themeTint="BF"/>
        <w:right w:val="single" w:sz="8" w:space="0" w:color="F600C4" w:themeColor="accent4" w:themeTint="BF"/>
        <w:insideH w:val="single" w:sz="8" w:space="0" w:color="F600C4" w:themeColor="accent4" w:themeTint="BF"/>
      </w:tblBorders>
    </w:tblPr>
    <w:tblStylePr w:type="firstRow">
      <w:pPr>
        <w:spacing w:before="0" w:after="0" w:line="240" w:lineRule="auto"/>
      </w:pPr>
      <w:rPr>
        <w:b/>
        <w:bCs/>
        <w:color w:val="FFFFFF" w:themeColor="background1"/>
      </w:rPr>
      <w:tblPr/>
      <w:tcPr>
        <w:tcBorders>
          <w:top w:val="single" w:sz="8" w:space="0" w:color="F600C4" w:themeColor="accent4" w:themeTint="BF"/>
          <w:left w:val="single" w:sz="8" w:space="0" w:color="F600C4" w:themeColor="accent4" w:themeTint="BF"/>
          <w:bottom w:val="single" w:sz="8" w:space="0" w:color="F600C4" w:themeColor="accent4" w:themeTint="BF"/>
          <w:right w:val="single" w:sz="8" w:space="0" w:color="F600C4" w:themeColor="accent4" w:themeTint="BF"/>
          <w:insideH w:val="nil"/>
          <w:insideV w:val="nil"/>
        </w:tcBorders>
        <w:shd w:val="clear" w:color="auto" w:fill="9E007E" w:themeFill="accent4"/>
      </w:tcPr>
    </w:tblStylePr>
    <w:tblStylePr w:type="lastRow">
      <w:pPr>
        <w:spacing w:before="0" w:after="0" w:line="240" w:lineRule="auto"/>
      </w:pPr>
      <w:rPr>
        <w:b/>
        <w:bCs/>
      </w:rPr>
      <w:tblPr/>
      <w:tcPr>
        <w:tcBorders>
          <w:top w:val="double" w:sz="6" w:space="0" w:color="F600C4" w:themeColor="accent4" w:themeTint="BF"/>
          <w:left w:val="single" w:sz="8" w:space="0" w:color="F600C4" w:themeColor="accent4" w:themeTint="BF"/>
          <w:bottom w:val="single" w:sz="8" w:space="0" w:color="F600C4" w:themeColor="accent4" w:themeTint="BF"/>
          <w:right w:val="single" w:sz="8" w:space="0" w:color="F600C4"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A8ED" w:themeFill="accent4" w:themeFillTint="3F"/>
      </w:tcPr>
    </w:tblStylePr>
    <w:tblStylePr w:type="band1Horz">
      <w:tblPr/>
      <w:tcPr>
        <w:tcBorders>
          <w:insideH w:val="nil"/>
          <w:insideV w:val="nil"/>
        </w:tcBorders>
        <w:shd w:val="clear" w:color="auto" w:fill="FFA8ED"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9E6ED7"/>
    <w:tblPr>
      <w:tblStyleRowBandSize w:val="1"/>
      <w:tblStyleColBandSize w:val="1"/>
      <w:tblBorders>
        <w:top w:val="single" w:sz="8" w:space="0" w:color="FFEB4D" w:themeColor="accent5" w:themeTint="BF"/>
        <w:left w:val="single" w:sz="8" w:space="0" w:color="FFEB4D" w:themeColor="accent5" w:themeTint="BF"/>
        <w:bottom w:val="single" w:sz="8" w:space="0" w:color="FFEB4D" w:themeColor="accent5" w:themeTint="BF"/>
        <w:right w:val="single" w:sz="8" w:space="0" w:color="FFEB4D" w:themeColor="accent5" w:themeTint="BF"/>
        <w:insideH w:val="single" w:sz="8" w:space="0" w:color="FFEB4D" w:themeColor="accent5" w:themeTint="BF"/>
      </w:tblBorders>
    </w:tblPr>
    <w:tblStylePr w:type="firstRow">
      <w:pPr>
        <w:spacing w:before="0" w:after="0" w:line="240" w:lineRule="auto"/>
      </w:pPr>
      <w:rPr>
        <w:b/>
        <w:bCs/>
        <w:color w:val="FFFFFF" w:themeColor="background1"/>
      </w:rPr>
      <w:tblPr/>
      <w:tcPr>
        <w:tcBorders>
          <w:top w:val="single" w:sz="8" w:space="0" w:color="FFEB4D" w:themeColor="accent5" w:themeTint="BF"/>
          <w:left w:val="single" w:sz="8" w:space="0" w:color="FFEB4D" w:themeColor="accent5" w:themeTint="BF"/>
          <w:bottom w:val="single" w:sz="8" w:space="0" w:color="FFEB4D" w:themeColor="accent5" w:themeTint="BF"/>
          <w:right w:val="single" w:sz="8" w:space="0" w:color="FFEB4D" w:themeColor="accent5" w:themeTint="BF"/>
          <w:insideH w:val="nil"/>
          <w:insideV w:val="nil"/>
        </w:tcBorders>
        <w:shd w:val="clear" w:color="auto" w:fill="FFE512" w:themeFill="accent5"/>
      </w:tcPr>
    </w:tblStylePr>
    <w:tblStylePr w:type="lastRow">
      <w:pPr>
        <w:spacing w:before="0" w:after="0" w:line="240" w:lineRule="auto"/>
      </w:pPr>
      <w:rPr>
        <w:b/>
        <w:bCs/>
      </w:rPr>
      <w:tblPr/>
      <w:tcPr>
        <w:tcBorders>
          <w:top w:val="double" w:sz="6" w:space="0" w:color="FFEB4D" w:themeColor="accent5" w:themeTint="BF"/>
          <w:left w:val="single" w:sz="8" w:space="0" w:color="FFEB4D" w:themeColor="accent5" w:themeTint="BF"/>
          <w:bottom w:val="single" w:sz="8" w:space="0" w:color="FFEB4D" w:themeColor="accent5" w:themeTint="BF"/>
          <w:right w:val="single" w:sz="8" w:space="0" w:color="FFEB4D" w:themeColor="accent5" w:themeTint="BF"/>
          <w:insideH w:val="nil"/>
          <w:insideV w:val="nil"/>
        </w:tcBorders>
      </w:tcPr>
    </w:tblStylePr>
    <w:tblStylePr w:type="firstCol">
      <w:rPr>
        <w:b/>
        <w:bCs/>
      </w:rPr>
    </w:tblStylePr>
    <w:tblStylePr w:type="lastCol">
      <w:rPr>
        <w:b/>
        <w:bCs/>
      </w:rPr>
    </w:tblStylePr>
    <w:tblStylePr w:type="band1Vert">
      <w:tblPr/>
      <w:tcPr>
        <w:shd w:val="clear" w:color="auto" w:fill="FFF8C4" w:themeFill="accent5" w:themeFillTint="3F"/>
      </w:tcPr>
    </w:tblStylePr>
    <w:tblStylePr w:type="band1Horz">
      <w:tblPr/>
      <w:tcPr>
        <w:tcBorders>
          <w:insideH w:val="nil"/>
          <w:insideV w:val="nil"/>
        </w:tcBorders>
        <w:shd w:val="clear" w:color="auto" w:fill="FFF8C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9E6ED7"/>
    <w:tblPr>
      <w:tblStyleRowBandSize w:val="1"/>
      <w:tblStyleColBandSize w:val="1"/>
      <w:tblBorders>
        <w:top w:val="single" w:sz="8" w:space="0" w:color="A8A19A" w:themeColor="accent6" w:themeTint="BF"/>
        <w:left w:val="single" w:sz="8" w:space="0" w:color="A8A19A" w:themeColor="accent6" w:themeTint="BF"/>
        <w:bottom w:val="single" w:sz="8" w:space="0" w:color="A8A19A" w:themeColor="accent6" w:themeTint="BF"/>
        <w:right w:val="single" w:sz="8" w:space="0" w:color="A8A19A" w:themeColor="accent6" w:themeTint="BF"/>
        <w:insideH w:val="single" w:sz="8" w:space="0" w:color="A8A19A" w:themeColor="accent6" w:themeTint="BF"/>
      </w:tblBorders>
    </w:tblPr>
    <w:tblStylePr w:type="firstRow">
      <w:pPr>
        <w:spacing w:before="0" w:after="0" w:line="240" w:lineRule="auto"/>
      </w:pPr>
      <w:rPr>
        <w:b/>
        <w:bCs/>
        <w:color w:val="FFFFFF" w:themeColor="background1"/>
      </w:rPr>
      <w:tblPr/>
      <w:tcPr>
        <w:tcBorders>
          <w:top w:val="single" w:sz="8" w:space="0" w:color="A8A19A" w:themeColor="accent6" w:themeTint="BF"/>
          <w:left w:val="single" w:sz="8" w:space="0" w:color="A8A19A" w:themeColor="accent6" w:themeTint="BF"/>
          <w:bottom w:val="single" w:sz="8" w:space="0" w:color="A8A19A" w:themeColor="accent6" w:themeTint="BF"/>
          <w:right w:val="single" w:sz="8" w:space="0" w:color="A8A19A" w:themeColor="accent6" w:themeTint="BF"/>
          <w:insideH w:val="nil"/>
          <w:insideV w:val="nil"/>
        </w:tcBorders>
        <w:shd w:val="clear" w:color="auto" w:fill="8C8279" w:themeFill="accent6"/>
      </w:tcPr>
    </w:tblStylePr>
    <w:tblStylePr w:type="lastRow">
      <w:pPr>
        <w:spacing w:before="0" w:after="0" w:line="240" w:lineRule="auto"/>
      </w:pPr>
      <w:rPr>
        <w:b/>
        <w:bCs/>
      </w:rPr>
      <w:tblPr/>
      <w:tcPr>
        <w:tcBorders>
          <w:top w:val="double" w:sz="6" w:space="0" w:color="A8A19A" w:themeColor="accent6" w:themeTint="BF"/>
          <w:left w:val="single" w:sz="8" w:space="0" w:color="A8A19A" w:themeColor="accent6" w:themeTint="BF"/>
          <w:bottom w:val="single" w:sz="8" w:space="0" w:color="A8A19A" w:themeColor="accent6" w:themeTint="BF"/>
          <w:right w:val="single" w:sz="8" w:space="0" w:color="A8A19A" w:themeColor="accent6" w:themeTint="BF"/>
          <w:insideH w:val="nil"/>
          <w:insideV w:val="nil"/>
        </w:tcBorders>
      </w:tcPr>
    </w:tblStylePr>
    <w:tblStylePr w:type="firstCol">
      <w:rPr>
        <w:b/>
        <w:bCs/>
      </w:rPr>
    </w:tblStylePr>
    <w:tblStylePr w:type="lastCol">
      <w:rPr>
        <w:b/>
        <w:bCs/>
      </w:rPr>
    </w:tblStylePr>
    <w:tblStylePr w:type="band1Vert">
      <w:tblPr/>
      <w:tcPr>
        <w:shd w:val="clear" w:color="auto" w:fill="E2E0DD" w:themeFill="accent6" w:themeFillTint="3F"/>
      </w:tcPr>
    </w:tblStylePr>
    <w:tblStylePr w:type="band1Horz">
      <w:tblPr/>
      <w:tcPr>
        <w:tcBorders>
          <w:insideH w:val="nil"/>
          <w:insideV w:val="nil"/>
        </w:tcBorders>
        <w:shd w:val="clear" w:color="auto" w:fill="E2E0DD"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5E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5E2" w:themeFill="accent1"/>
      </w:tcPr>
    </w:tblStylePr>
    <w:tblStylePr w:type="lastCol">
      <w:rPr>
        <w:b/>
        <w:bCs/>
        <w:color w:val="FFFFFF" w:themeColor="background1"/>
      </w:rPr>
      <w:tblPr/>
      <w:tcPr>
        <w:tcBorders>
          <w:left w:val="nil"/>
          <w:right w:val="nil"/>
          <w:insideH w:val="nil"/>
          <w:insideV w:val="nil"/>
        </w:tcBorders>
        <w:shd w:val="clear" w:color="auto" w:fill="00B5E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4BD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4BD00" w:themeFill="accent2"/>
      </w:tcPr>
    </w:tblStylePr>
    <w:tblStylePr w:type="lastCol">
      <w:rPr>
        <w:b/>
        <w:bCs/>
        <w:color w:val="FFFFFF" w:themeColor="background1"/>
      </w:rPr>
      <w:tblPr/>
      <w:tcPr>
        <w:tcBorders>
          <w:left w:val="nil"/>
          <w:right w:val="nil"/>
          <w:insideH w:val="nil"/>
          <w:insideV w:val="nil"/>
        </w:tcBorders>
        <w:shd w:val="clear" w:color="auto" w:fill="84BD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68B1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68B1F" w:themeFill="accent3"/>
      </w:tcPr>
    </w:tblStylePr>
    <w:tblStylePr w:type="lastCol">
      <w:rPr>
        <w:b/>
        <w:bCs/>
        <w:color w:val="FFFFFF" w:themeColor="background1"/>
      </w:rPr>
      <w:tblPr/>
      <w:tcPr>
        <w:tcBorders>
          <w:left w:val="nil"/>
          <w:right w:val="nil"/>
          <w:insideH w:val="nil"/>
          <w:insideV w:val="nil"/>
        </w:tcBorders>
        <w:shd w:val="clear" w:color="auto" w:fill="F68B1F"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E007E"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E007E" w:themeFill="accent4"/>
      </w:tcPr>
    </w:tblStylePr>
    <w:tblStylePr w:type="lastCol">
      <w:rPr>
        <w:b/>
        <w:bCs/>
        <w:color w:val="FFFFFF" w:themeColor="background1"/>
      </w:rPr>
      <w:tblPr/>
      <w:tcPr>
        <w:tcBorders>
          <w:left w:val="nil"/>
          <w:right w:val="nil"/>
          <w:insideH w:val="nil"/>
          <w:insideV w:val="nil"/>
        </w:tcBorders>
        <w:shd w:val="clear" w:color="auto" w:fill="9E007E"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E512"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E512" w:themeFill="accent5"/>
      </w:tcPr>
    </w:tblStylePr>
    <w:tblStylePr w:type="lastCol">
      <w:rPr>
        <w:b/>
        <w:bCs/>
        <w:color w:val="FFFFFF" w:themeColor="background1"/>
      </w:rPr>
      <w:tblPr/>
      <w:tcPr>
        <w:tcBorders>
          <w:left w:val="nil"/>
          <w:right w:val="nil"/>
          <w:insideH w:val="nil"/>
          <w:insideV w:val="nil"/>
        </w:tcBorders>
        <w:shd w:val="clear" w:color="auto" w:fill="FFE512"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C8279"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C8279" w:themeFill="accent6"/>
      </w:tcPr>
    </w:tblStylePr>
    <w:tblStylePr w:type="lastCol">
      <w:rPr>
        <w:b/>
        <w:bCs/>
        <w:color w:val="FFFFFF" w:themeColor="background1"/>
      </w:rPr>
      <w:tblPr/>
      <w:tcPr>
        <w:tcBorders>
          <w:left w:val="nil"/>
          <w:right w:val="nil"/>
          <w:insideH w:val="nil"/>
          <w:insideV w:val="nil"/>
        </w:tcBorders>
        <w:shd w:val="clear" w:color="auto" w:fill="8C8279"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E6ED7"/>
    <w:pPr>
      <w:spacing w:line="24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E6ED7"/>
    <w:pPr>
      <w:spacing w:line="24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E6ED7"/>
    <w:pPr>
      <w:spacing w:line="24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E6ED7"/>
    <w:pPr>
      <w:spacing w:line="24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E6ED7"/>
    <w:pPr>
      <w:spacing w:line="24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E6ED7"/>
    <w:pPr>
      <w:spacing w:line="24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E6ED7"/>
    <w:pPr>
      <w:spacing w:line="24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E6ED7"/>
    <w:pPr>
      <w:spacing w:line="24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E6ED7"/>
    <w:pPr>
      <w:spacing w:line="24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E6ED7"/>
    <w:pPr>
      <w:spacing w:line="24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E6ED7"/>
    <w:pPr>
      <w:spacing w:line="24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E6ED7"/>
    <w:pPr>
      <w:spacing w:line="24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E6ED7"/>
    <w:pPr>
      <w:spacing w:line="24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E6ED7"/>
    <w:pPr>
      <w:spacing w:line="24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E6ED7"/>
    <w:pPr>
      <w:spacing w:line="24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E6ED7"/>
    <w:pPr>
      <w:spacing w:line="24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E6ED7"/>
    <w:pPr>
      <w:spacing w:line="24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E6ED7"/>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E6ED7"/>
    <w:pPr>
      <w:spacing w:line="24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E6ED7"/>
    <w:pPr>
      <w:spacing w:line="24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E6ED7"/>
    <w:pPr>
      <w:spacing w:line="24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E6ED7"/>
    <w:pPr>
      <w:spacing w:line="24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E6ED7"/>
    <w:pPr>
      <w:spacing w:line="24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E6ED7"/>
    <w:pPr>
      <w:spacing w:line="24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E6ED7"/>
    <w:pPr>
      <w:spacing w:line="24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E6ED7"/>
    <w:pPr>
      <w:spacing w:line="24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E6ED7"/>
    <w:pPr>
      <w:spacing w:line="24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E6ED7"/>
    <w:pPr>
      <w:spacing w:line="24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E6ED7"/>
    <w:pPr>
      <w:spacing w:line="24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E6ED7"/>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E6ED7"/>
    <w:pPr>
      <w:spacing w:line="24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E6ED7"/>
    <w:pPr>
      <w:spacing w:line="24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E6ED7"/>
    <w:pPr>
      <w:spacing w:line="24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E6ED7"/>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E6ED7"/>
    <w:pPr>
      <w:spacing w:line="24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E6ED7"/>
    <w:pPr>
      <w:spacing w:line="24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E6ED7"/>
    <w:pPr>
      <w:spacing w:line="24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E6ED7"/>
    <w:pPr>
      <w:spacing w:line="24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E6ED7"/>
    <w:pPr>
      <w:spacing w:line="24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E6ED7"/>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E6ED7"/>
    <w:pPr>
      <w:spacing w:line="24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E6ED7"/>
    <w:pPr>
      <w:spacing w:line="24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E6ED7"/>
    <w:pPr>
      <w:spacing w:line="24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Header">
    <w:name w:val="header"/>
    <w:basedOn w:val="Normal"/>
    <w:link w:val="HeaderChar"/>
    <w:uiPriority w:val="99"/>
    <w:unhideWhenUsed/>
    <w:rsid w:val="007F6341"/>
    <w:pPr>
      <w:tabs>
        <w:tab w:val="center" w:pos="4513"/>
        <w:tab w:val="right" w:pos="9026"/>
      </w:tabs>
      <w:spacing w:line="240" w:lineRule="auto"/>
    </w:pPr>
    <w:rPr>
      <w:noProof/>
      <w:sz w:val="14"/>
    </w:rPr>
  </w:style>
  <w:style w:type="character" w:customStyle="1" w:styleId="HeaderChar">
    <w:name w:val="Header Char"/>
    <w:basedOn w:val="DefaultParagraphFont"/>
    <w:link w:val="Header"/>
    <w:uiPriority w:val="99"/>
    <w:rsid w:val="00F66A91"/>
    <w:rPr>
      <w:noProof/>
      <w:kern w:val="18"/>
      <w:sz w:val="14"/>
    </w:rPr>
  </w:style>
  <w:style w:type="paragraph" w:styleId="Footer">
    <w:name w:val="footer"/>
    <w:basedOn w:val="Normal"/>
    <w:link w:val="FooterChar"/>
    <w:uiPriority w:val="99"/>
    <w:unhideWhenUsed/>
    <w:rsid w:val="007F6341"/>
    <w:pPr>
      <w:tabs>
        <w:tab w:val="center" w:pos="4513"/>
        <w:tab w:val="right" w:pos="9026"/>
      </w:tabs>
      <w:spacing w:line="240" w:lineRule="auto"/>
    </w:pPr>
    <w:rPr>
      <w:noProof/>
      <w:sz w:val="14"/>
    </w:rPr>
  </w:style>
  <w:style w:type="character" w:customStyle="1" w:styleId="FooterChar">
    <w:name w:val="Footer Char"/>
    <w:basedOn w:val="DefaultParagraphFont"/>
    <w:link w:val="Footer"/>
    <w:uiPriority w:val="99"/>
    <w:rsid w:val="00F66A91"/>
    <w:rPr>
      <w:noProof/>
      <w:kern w:val="18"/>
      <w:sz w:val="14"/>
    </w:rPr>
  </w:style>
  <w:style w:type="numbering" w:customStyle="1" w:styleId="AECOMNumbering">
    <w:name w:val="AECOM Numbering"/>
    <w:basedOn w:val="NoList"/>
    <w:uiPriority w:val="99"/>
    <w:semiHidden/>
    <w:unhideWhenUsed/>
    <w:rsid w:val="00FF093C"/>
    <w:pPr>
      <w:numPr>
        <w:numId w:val="7"/>
      </w:numPr>
    </w:pPr>
  </w:style>
  <w:style w:type="numbering" w:customStyle="1" w:styleId="AECOMAppendix">
    <w:name w:val="AECOM Appendix"/>
    <w:uiPriority w:val="99"/>
    <w:semiHidden/>
    <w:unhideWhenUsed/>
    <w:rsid w:val="006A3705"/>
    <w:pPr>
      <w:numPr>
        <w:numId w:val="8"/>
      </w:numPr>
    </w:pPr>
  </w:style>
  <w:style w:type="character" w:customStyle="1" w:styleId="Heading6Char">
    <w:name w:val="Heading 6 Char"/>
    <w:basedOn w:val="DefaultParagraphFont"/>
    <w:link w:val="Heading6"/>
    <w:uiPriority w:val="9"/>
    <w:semiHidden/>
    <w:rsid w:val="00F66A91"/>
    <w:rPr>
      <w:rFonts w:asciiTheme="majorHAnsi" w:eastAsiaTheme="majorEastAsia" w:hAnsiTheme="majorHAnsi" w:cstheme="majorBidi"/>
      <w:i/>
      <w:iCs/>
      <w:color w:val="005970" w:themeColor="accent1" w:themeShade="7F"/>
      <w:kern w:val="18"/>
    </w:rPr>
  </w:style>
  <w:style w:type="character" w:customStyle="1" w:styleId="Heading7Char">
    <w:name w:val="Heading 7 Char"/>
    <w:basedOn w:val="DefaultParagraphFont"/>
    <w:link w:val="Heading7"/>
    <w:uiPriority w:val="9"/>
    <w:semiHidden/>
    <w:rsid w:val="00F66A91"/>
    <w:rPr>
      <w:rFonts w:asciiTheme="majorHAnsi" w:eastAsiaTheme="majorEastAsia" w:hAnsiTheme="majorHAnsi" w:cstheme="majorBidi"/>
      <w:i/>
      <w:iCs/>
      <w:color w:val="404040" w:themeColor="text1" w:themeTint="BF"/>
      <w:kern w:val="18"/>
    </w:rPr>
  </w:style>
  <w:style w:type="character" w:customStyle="1" w:styleId="Heading8Char">
    <w:name w:val="Heading 8 Char"/>
    <w:basedOn w:val="DefaultParagraphFont"/>
    <w:link w:val="Heading8"/>
    <w:uiPriority w:val="9"/>
    <w:semiHidden/>
    <w:rsid w:val="00F66A91"/>
    <w:rPr>
      <w:rFonts w:asciiTheme="majorHAnsi" w:eastAsiaTheme="majorEastAsia" w:hAnsiTheme="majorHAnsi" w:cstheme="majorBidi"/>
      <w:color w:val="404040" w:themeColor="text1" w:themeTint="BF"/>
      <w:kern w:val="18"/>
      <w:sz w:val="20"/>
      <w:szCs w:val="20"/>
    </w:rPr>
  </w:style>
  <w:style w:type="character" w:customStyle="1" w:styleId="Heading9Char">
    <w:name w:val="Heading 9 Char"/>
    <w:basedOn w:val="DefaultParagraphFont"/>
    <w:link w:val="Heading9"/>
    <w:uiPriority w:val="9"/>
    <w:semiHidden/>
    <w:rsid w:val="00F66A91"/>
    <w:rPr>
      <w:rFonts w:asciiTheme="majorHAnsi" w:eastAsiaTheme="majorEastAsia" w:hAnsiTheme="majorHAnsi" w:cstheme="majorBidi"/>
      <w:i/>
      <w:iCs/>
      <w:color w:val="404040" w:themeColor="text1" w:themeTint="BF"/>
      <w:kern w:val="18"/>
      <w:sz w:val="20"/>
      <w:szCs w:val="20"/>
    </w:rPr>
  </w:style>
  <w:style w:type="table" w:customStyle="1" w:styleId="Plaingrid">
    <w:name w:val="Plain grid"/>
    <w:basedOn w:val="TableNormal"/>
    <w:uiPriority w:val="99"/>
    <w:semiHidden/>
    <w:unhideWhenUsed/>
    <w:rsid w:val="00E772F5"/>
    <w:tblPr>
      <w:tblCellMar>
        <w:left w:w="0" w:type="dxa"/>
      </w:tblCellMar>
    </w:tblPr>
  </w:style>
  <w:style w:type="paragraph" w:styleId="Title">
    <w:name w:val="Title"/>
    <w:basedOn w:val="Normal"/>
    <w:next w:val="Normal"/>
    <w:link w:val="TitleChar"/>
    <w:uiPriority w:val="10"/>
    <w:semiHidden/>
    <w:unhideWhenUsed/>
    <w:rsid w:val="00AA75D4"/>
    <w:pPr>
      <w:spacing w:after="300" w:line="240" w:lineRule="auto"/>
      <w:contextualSpacing/>
    </w:pPr>
    <w:rPr>
      <w:rFonts w:asciiTheme="majorHAnsi" w:eastAsiaTheme="majorEastAsia" w:hAnsiTheme="majorHAnsi" w:cstheme="majorBidi"/>
      <w:color w:val="FFFFFF" w:themeColor="background1"/>
      <w:kern w:val="28"/>
      <w:sz w:val="48"/>
      <w:szCs w:val="52"/>
    </w:rPr>
  </w:style>
  <w:style w:type="character" w:customStyle="1" w:styleId="TitleChar">
    <w:name w:val="Title Char"/>
    <w:basedOn w:val="DefaultParagraphFont"/>
    <w:link w:val="Title"/>
    <w:uiPriority w:val="10"/>
    <w:semiHidden/>
    <w:rsid w:val="00F66A91"/>
    <w:rPr>
      <w:rFonts w:asciiTheme="majorHAnsi" w:eastAsiaTheme="majorEastAsia" w:hAnsiTheme="majorHAnsi" w:cstheme="majorBidi"/>
      <w:color w:val="FFFFFF" w:themeColor="background1"/>
      <w:kern w:val="28"/>
      <w:sz w:val="48"/>
      <w:szCs w:val="52"/>
    </w:rPr>
  </w:style>
  <w:style w:type="paragraph" w:styleId="TOCHeading">
    <w:name w:val="TOC Heading"/>
    <w:basedOn w:val="Heading1"/>
    <w:next w:val="Normal"/>
    <w:uiPriority w:val="39"/>
    <w:semiHidden/>
    <w:unhideWhenUsed/>
    <w:rsid w:val="000D13AF"/>
    <w:pPr>
      <w:numPr>
        <w:numId w:val="0"/>
      </w:numPr>
      <w:spacing w:line="240" w:lineRule="atLeast"/>
      <w:outlineLvl w:val="9"/>
    </w:pPr>
    <w:rPr>
      <w:sz w:val="28"/>
    </w:rPr>
  </w:style>
  <w:style w:type="paragraph" w:styleId="Subtitle">
    <w:name w:val="Subtitle"/>
    <w:basedOn w:val="Normal"/>
    <w:next w:val="Normal"/>
    <w:link w:val="SubtitleChar"/>
    <w:uiPriority w:val="11"/>
    <w:semiHidden/>
    <w:unhideWhenUsed/>
    <w:rsid w:val="00AA75D4"/>
    <w:pPr>
      <w:numPr>
        <w:ilvl w:val="1"/>
      </w:numPr>
    </w:pPr>
    <w:rPr>
      <w:rFonts w:asciiTheme="majorHAnsi" w:eastAsiaTheme="majorEastAsia" w:hAnsiTheme="majorHAnsi" w:cstheme="majorBidi"/>
      <w:iCs/>
      <w:color w:val="FFFFFF" w:themeColor="background1"/>
      <w:sz w:val="24"/>
      <w:szCs w:val="24"/>
    </w:rPr>
  </w:style>
  <w:style w:type="character" w:customStyle="1" w:styleId="SubtitleChar">
    <w:name w:val="Subtitle Char"/>
    <w:basedOn w:val="DefaultParagraphFont"/>
    <w:link w:val="Subtitle"/>
    <w:uiPriority w:val="11"/>
    <w:semiHidden/>
    <w:rsid w:val="00F66A91"/>
    <w:rPr>
      <w:rFonts w:asciiTheme="majorHAnsi" w:eastAsiaTheme="majorEastAsia" w:hAnsiTheme="majorHAnsi" w:cstheme="majorBidi"/>
      <w:iCs/>
      <w:color w:val="FFFFFF" w:themeColor="background1"/>
      <w:kern w:val="18"/>
      <w:sz w:val="24"/>
      <w:szCs w:val="24"/>
    </w:rPr>
  </w:style>
  <w:style w:type="paragraph" w:styleId="TOC1">
    <w:name w:val="toc 1"/>
    <w:basedOn w:val="Normal"/>
    <w:next w:val="Normal"/>
    <w:autoRedefine/>
    <w:uiPriority w:val="39"/>
    <w:unhideWhenUsed/>
    <w:rsid w:val="003964F2"/>
    <w:pPr>
      <w:tabs>
        <w:tab w:val="clear" w:pos="284"/>
        <w:tab w:val="right" w:leader="dot" w:pos="9026"/>
      </w:tabs>
      <w:spacing w:after="40"/>
      <w:ind w:left="567" w:right="522" w:hanging="567"/>
    </w:pPr>
    <w:rPr>
      <w:rFonts w:asciiTheme="majorHAnsi" w:hAnsiTheme="majorHAnsi"/>
    </w:rPr>
  </w:style>
  <w:style w:type="paragraph" w:styleId="TOC2">
    <w:name w:val="toc 2"/>
    <w:basedOn w:val="Normal"/>
    <w:next w:val="Normal"/>
    <w:autoRedefine/>
    <w:uiPriority w:val="39"/>
    <w:unhideWhenUsed/>
    <w:rsid w:val="003964F2"/>
    <w:pPr>
      <w:tabs>
        <w:tab w:val="clear" w:pos="284"/>
        <w:tab w:val="right" w:leader="dot" w:pos="9026"/>
      </w:tabs>
      <w:spacing w:after="40"/>
      <w:ind w:left="1134" w:right="522" w:hanging="567"/>
    </w:pPr>
  </w:style>
  <w:style w:type="paragraph" w:styleId="TOC3">
    <w:name w:val="toc 3"/>
    <w:basedOn w:val="Normal"/>
    <w:next w:val="Normal"/>
    <w:autoRedefine/>
    <w:uiPriority w:val="39"/>
    <w:unhideWhenUsed/>
    <w:rsid w:val="003964F2"/>
    <w:pPr>
      <w:tabs>
        <w:tab w:val="clear" w:pos="284"/>
        <w:tab w:val="right" w:leader="dot" w:pos="9026"/>
      </w:tabs>
      <w:spacing w:after="40"/>
      <w:ind w:left="1134" w:hanging="567"/>
    </w:pPr>
  </w:style>
  <w:style w:type="paragraph" w:customStyle="1" w:styleId="Coverdata">
    <w:name w:val="Cover data"/>
    <w:basedOn w:val="Subtitle"/>
    <w:uiPriority w:val="1"/>
    <w:semiHidden/>
    <w:unhideWhenUsed/>
    <w:rsid w:val="00DA79BC"/>
    <w:pPr>
      <w:jc w:val="right"/>
    </w:pPr>
    <w:rPr>
      <w:sz w:val="16"/>
    </w:rPr>
  </w:style>
  <w:style w:type="paragraph" w:customStyle="1" w:styleId="Coverfooter">
    <w:name w:val="Cover footer"/>
    <w:basedOn w:val="Coverdata"/>
    <w:uiPriority w:val="1"/>
    <w:semiHidden/>
    <w:unhideWhenUsed/>
    <w:rsid w:val="00B97816"/>
    <w:pPr>
      <w:spacing w:line="200" w:lineRule="atLeast"/>
      <w:jc w:val="left"/>
    </w:pPr>
    <w:rPr>
      <w:rFonts w:asciiTheme="minorHAnsi" w:hAnsiTheme="minorHAnsi"/>
    </w:rPr>
  </w:style>
  <w:style w:type="paragraph" w:customStyle="1" w:styleId="Subtitleheading">
    <w:name w:val="Subtitle heading"/>
    <w:basedOn w:val="Subtitle"/>
    <w:uiPriority w:val="1"/>
    <w:semiHidden/>
    <w:unhideWhenUsed/>
    <w:rsid w:val="00AA75D4"/>
  </w:style>
  <w:style w:type="character" w:styleId="Strong">
    <w:name w:val="Strong"/>
    <w:basedOn w:val="DefaultParagraphFont"/>
    <w:uiPriority w:val="22"/>
    <w:semiHidden/>
    <w:unhideWhenUsed/>
    <w:rsid w:val="00542F08"/>
    <w:rPr>
      <w:b/>
      <w:bCs/>
    </w:rPr>
  </w:style>
  <w:style w:type="paragraph" w:styleId="CommentText">
    <w:name w:val="annotation text"/>
    <w:basedOn w:val="Normal"/>
    <w:link w:val="CommentTextChar"/>
    <w:uiPriority w:val="99"/>
    <w:unhideWhenUsed/>
    <w:rsid w:val="00542F08"/>
    <w:pPr>
      <w:spacing w:line="240" w:lineRule="auto"/>
    </w:pPr>
    <w:rPr>
      <w:sz w:val="20"/>
      <w:szCs w:val="20"/>
    </w:rPr>
  </w:style>
  <w:style w:type="character" w:customStyle="1" w:styleId="CommentTextChar">
    <w:name w:val="Comment Text Char"/>
    <w:basedOn w:val="DefaultParagraphFont"/>
    <w:link w:val="CommentText"/>
    <w:uiPriority w:val="99"/>
    <w:rsid w:val="00F66A91"/>
    <w:rPr>
      <w:kern w:val="18"/>
      <w:sz w:val="20"/>
      <w:szCs w:val="20"/>
    </w:rPr>
  </w:style>
  <w:style w:type="paragraph" w:styleId="CommentSubject">
    <w:name w:val="annotation subject"/>
    <w:basedOn w:val="CommentText"/>
    <w:next w:val="CommentText"/>
    <w:link w:val="CommentSubjectChar"/>
    <w:uiPriority w:val="99"/>
    <w:semiHidden/>
    <w:unhideWhenUsed/>
    <w:rsid w:val="00542F08"/>
    <w:rPr>
      <w:b/>
      <w:bCs/>
    </w:rPr>
  </w:style>
  <w:style w:type="character" w:customStyle="1" w:styleId="CommentSubjectChar">
    <w:name w:val="Comment Subject Char"/>
    <w:basedOn w:val="CommentTextChar"/>
    <w:link w:val="CommentSubject"/>
    <w:uiPriority w:val="99"/>
    <w:semiHidden/>
    <w:rsid w:val="00F66A91"/>
    <w:rPr>
      <w:b/>
      <w:bCs/>
      <w:kern w:val="18"/>
      <w:sz w:val="20"/>
      <w:szCs w:val="20"/>
    </w:rPr>
  </w:style>
  <w:style w:type="paragraph" w:customStyle="1" w:styleId="Heading">
    <w:name w:val="Heading"/>
    <w:basedOn w:val="BodyText"/>
    <w:next w:val="BodyText"/>
    <w:uiPriority w:val="1"/>
    <w:unhideWhenUsed/>
    <w:rsid w:val="008952D6"/>
    <w:pPr>
      <w:spacing w:after="120"/>
    </w:pPr>
    <w:rPr>
      <w:rFonts w:asciiTheme="majorHAnsi" w:hAnsiTheme="majorHAnsi" w:cstheme="majorHAnsi"/>
      <w:color w:val="000000" w:themeColor="text2"/>
      <w:sz w:val="24"/>
    </w:rPr>
  </w:style>
  <w:style w:type="paragraph" w:styleId="TableofFigures">
    <w:name w:val="table of figures"/>
    <w:basedOn w:val="Normal"/>
    <w:next w:val="Normal"/>
    <w:uiPriority w:val="99"/>
    <w:unhideWhenUsed/>
    <w:rsid w:val="00A34EE8"/>
    <w:pPr>
      <w:tabs>
        <w:tab w:val="clear" w:pos="284"/>
        <w:tab w:val="right" w:leader="dot" w:pos="9026"/>
      </w:tabs>
    </w:pPr>
  </w:style>
  <w:style w:type="numbering" w:customStyle="1" w:styleId="AECOMSectionnumbering">
    <w:name w:val="AECOM Section numbering"/>
    <w:uiPriority w:val="99"/>
    <w:semiHidden/>
    <w:unhideWhenUsed/>
    <w:rsid w:val="0055609F"/>
    <w:pPr>
      <w:numPr>
        <w:numId w:val="10"/>
      </w:numPr>
    </w:pPr>
  </w:style>
  <w:style w:type="paragraph" w:styleId="BalloonText">
    <w:name w:val="Balloon Text"/>
    <w:basedOn w:val="Normal"/>
    <w:link w:val="BalloonTextChar"/>
    <w:uiPriority w:val="99"/>
    <w:semiHidden/>
    <w:unhideWhenUsed/>
    <w:rsid w:val="00F97FC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6A91"/>
    <w:rPr>
      <w:rFonts w:ascii="Tahoma" w:hAnsi="Tahoma" w:cs="Tahoma"/>
      <w:kern w:val="18"/>
      <w:sz w:val="16"/>
      <w:szCs w:val="16"/>
    </w:rPr>
  </w:style>
  <w:style w:type="paragraph" w:styleId="Quote">
    <w:name w:val="Quote"/>
    <w:basedOn w:val="Normal"/>
    <w:next w:val="Normal"/>
    <w:link w:val="QuoteChar"/>
    <w:uiPriority w:val="21"/>
    <w:qFormat/>
    <w:rsid w:val="00854622"/>
    <w:pPr>
      <w:spacing w:after="120"/>
      <w:ind w:left="851" w:right="567"/>
    </w:pPr>
    <w:rPr>
      <w:i/>
      <w:iCs/>
      <w:color w:val="000000" w:themeColor="text1"/>
    </w:rPr>
  </w:style>
  <w:style w:type="character" w:customStyle="1" w:styleId="QuoteChar">
    <w:name w:val="Quote Char"/>
    <w:basedOn w:val="DefaultParagraphFont"/>
    <w:link w:val="Quote"/>
    <w:uiPriority w:val="20"/>
    <w:semiHidden/>
    <w:rsid w:val="00F66A91"/>
    <w:rPr>
      <w:i/>
      <w:iCs/>
      <w:color w:val="000000" w:themeColor="text1"/>
      <w:kern w:val="18"/>
    </w:rPr>
  </w:style>
  <w:style w:type="numbering" w:styleId="111111">
    <w:name w:val="Outline List 2"/>
    <w:basedOn w:val="NoList"/>
    <w:uiPriority w:val="99"/>
    <w:semiHidden/>
    <w:unhideWhenUsed/>
    <w:rsid w:val="004C255D"/>
    <w:pPr>
      <w:numPr>
        <w:numId w:val="11"/>
      </w:numPr>
    </w:pPr>
  </w:style>
  <w:style w:type="numbering" w:styleId="1ai">
    <w:name w:val="Outline List 1"/>
    <w:basedOn w:val="NoList"/>
    <w:uiPriority w:val="99"/>
    <w:semiHidden/>
    <w:unhideWhenUsed/>
    <w:rsid w:val="004C255D"/>
    <w:pPr>
      <w:numPr>
        <w:numId w:val="12"/>
      </w:numPr>
    </w:pPr>
  </w:style>
  <w:style w:type="numbering" w:styleId="ArticleSection">
    <w:name w:val="Outline List 3"/>
    <w:basedOn w:val="NoList"/>
    <w:uiPriority w:val="99"/>
    <w:semiHidden/>
    <w:unhideWhenUsed/>
    <w:rsid w:val="004C255D"/>
    <w:pPr>
      <w:numPr>
        <w:numId w:val="13"/>
      </w:numPr>
    </w:pPr>
  </w:style>
  <w:style w:type="paragraph" w:styleId="Bibliography">
    <w:name w:val="Bibliography"/>
    <w:basedOn w:val="Normal"/>
    <w:next w:val="Normal"/>
    <w:uiPriority w:val="37"/>
    <w:semiHidden/>
    <w:unhideWhenUsed/>
    <w:rsid w:val="004C255D"/>
  </w:style>
  <w:style w:type="paragraph" w:styleId="BlockText">
    <w:name w:val="Block Text"/>
    <w:basedOn w:val="Normal"/>
    <w:uiPriority w:val="99"/>
    <w:semiHidden/>
    <w:unhideWhenUsed/>
    <w:rsid w:val="004C255D"/>
    <w:pPr>
      <w:pBdr>
        <w:top w:val="single" w:sz="2" w:space="10" w:color="00B5E2" w:themeColor="accent1" w:shadow="1" w:frame="1"/>
        <w:left w:val="single" w:sz="2" w:space="10" w:color="00B5E2" w:themeColor="accent1" w:shadow="1" w:frame="1"/>
        <w:bottom w:val="single" w:sz="2" w:space="10" w:color="00B5E2" w:themeColor="accent1" w:shadow="1" w:frame="1"/>
        <w:right w:val="single" w:sz="2" w:space="10" w:color="00B5E2" w:themeColor="accent1" w:shadow="1" w:frame="1"/>
      </w:pBdr>
      <w:ind w:left="1152" w:right="1152"/>
    </w:pPr>
    <w:rPr>
      <w:rFonts w:eastAsiaTheme="minorEastAsia"/>
      <w:i/>
      <w:iCs/>
      <w:color w:val="00B5E2" w:themeColor="accent1"/>
    </w:rPr>
  </w:style>
  <w:style w:type="paragraph" w:styleId="BodyText2">
    <w:name w:val="Body Text 2"/>
    <w:basedOn w:val="Normal"/>
    <w:link w:val="BodyText2Char"/>
    <w:uiPriority w:val="99"/>
    <w:semiHidden/>
    <w:unhideWhenUsed/>
    <w:rsid w:val="004C255D"/>
    <w:pPr>
      <w:spacing w:after="120" w:line="480" w:lineRule="auto"/>
    </w:pPr>
  </w:style>
  <w:style w:type="character" w:customStyle="1" w:styleId="BodyText2Char">
    <w:name w:val="Body Text 2 Char"/>
    <w:basedOn w:val="DefaultParagraphFont"/>
    <w:link w:val="BodyText2"/>
    <w:uiPriority w:val="99"/>
    <w:semiHidden/>
    <w:rsid w:val="00F66A91"/>
    <w:rPr>
      <w:kern w:val="18"/>
    </w:rPr>
  </w:style>
  <w:style w:type="paragraph" w:styleId="BodyText3">
    <w:name w:val="Body Text 3"/>
    <w:basedOn w:val="Normal"/>
    <w:link w:val="BodyText3Char"/>
    <w:uiPriority w:val="99"/>
    <w:semiHidden/>
    <w:unhideWhenUsed/>
    <w:rsid w:val="004C255D"/>
    <w:pPr>
      <w:spacing w:after="120"/>
    </w:pPr>
    <w:rPr>
      <w:sz w:val="16"/>
      <w:szCs w:val="16"/>
    </w:rPr>
  </w:style>
  <w:style w:type="character" w:customStyle="1" w:styleId="BodyText3Char">
    <w:name w:val="Body Text 3 Char"/>
    <w:basedOn w:val="DefaultParagraphFont"/>
    <w:link w:val="BodyText3"/>
    <w:uiPriority w:val="99"/>
    <w:semiHidden/>
    <w:rsid w:val="00F66A91"/>
    <w:rPr>
      <w:kern w:val="18"/>
      <w:sz w:val="16"/>
      <w:szCs w:val="16"/>
    </w:rPr>
  </w:style>
  <w:style w:type="paragraph" w:styleId="BodyTextFirstIndent">
    <w:name w:val="Body Text First Indent"/>
    <w:basedOn w:val="BodyText"/>
    <w:link w:val="BodyTextFirstIndentChar"/>
    <w:uiPriority w:val="99"/>
    <w:semiHidden/>
    <w:unhideWhenUsed/>
    <w:rsid w:val="004C255D"/>
    <w:pPr>
      <w:spacing w:after="0"/>
      <w:ind w:firstLine="360"/>
    </w:pPr>
  </w:style>
  <w:style w:type="character" w:customStyle="1" w:styleId="BodyTextFirstIndentChar">
    <w:name w:val="Body Text First Indent Char"/>
    <w:basedOn w:val="BodyTextChar"/>
    <w:link w:val="BodyTextFirstIndent"/>
    <w:uiPriority w:val="99"/>
    <w:semiHidden/>
    <w:rsid w:val="00F66A91"/>
    <w:rPr>
      <w:kern w:val="18"/>
    </w:rPr>
  </w:style>
  <w:style w:type="paragraph" w:styleId="BodyTextIndent">
    <w:name w:val="Body Text Indent"/>
    <w:basedOn w:val="Normal"/>
    <w:link w:val="BodyTextIndentChar"/>
    <w:uiPriority w:val="99"/>
    <w:semiHidden/>
    <w:unhideWhenUsed/>
    <w:rsid w:val="004C255D"/>
    <w:pPr>
      <w:spacing w:after="120"/>
      <w:ind w:left="283"/>
    </w:pPr>
  </w:style>
  <w:style w:type="character" w:customStyle="1" w:styleId="BodyTextIndentChar">
    <w:name w:val="Body Text Indent Char"/>
    <w:basedOn w:val="DefaultParagraphFont"/>
    <w:link w:val="BodyTextIndent"/>
    <w:uiPriority w:val="99"/>
    <w:semiHidden/>
    <w:rsid w:val="00F66A91"/>
    <w:rPr>
      <w:kern w:val="18"/>
    </w:rPr>
  </w:style>
  <w:style w:type="paragraph" w:styleId="BodyTextFirstIndent2">
    <w:name w:val="Body Text First Indent 2"/>
    <w:basedOn w:val="BodyTextIndent"/>
    <w:link w:val="BodyTextFirstIndent2Char"/>
    <w:uiPriority w:val="99"/>
    <w:semiHidden/>
    <w:unhideWhenUsed/>
    <w:rsid w:val="004C255D"/>
    <w:pPr>
      <w:spacing w:after="0"/>
      <w:ind w:left="360" w:firstLine="360"/>
    </w:pPr>
  </w:style>
  <w:style w:type="character" w:customStyle="1" w:styleId="BodyTextFirstIndent2Char">
    <w:name w:val="Body Text First Indent 2 Char"/>
    <w:basedOn w:val="BodyTextIndentChar"/>
    <w:link w:val="BodyTextFirstIndent2"/>
    <w:uiPriority w:val="99"/>
    <w:semiHidden/>
    <w:rsid w:val="00F66A91"/>
    <w:rPr>
      <w:kern w:val="18"/>
    </w:rPr>
  </w:style>
  <w:style w:type="paragraph" w:styleId="BodyTextIndent2">
    <w:name w:val="Body Text Indent 2"/>
    <w:basedOn w:val="Normal"/>
    <w:link w:val="BodyTextIndent2Char"/>
    <w:uiPriority w:val="99"/>
    <w:semiHidden/>
    <w:unhideWhenUsed/>
    <w:rsid w:val="004C255D"/>
    <w:pPr>
      <w:spacing w:after="120" w:line="480" w:lineRule="auto"/>
      <w:ind w:left="283"/>
    </w:pPr>
  </w:style>
  <w:style w:type="character" w:customStyle="1" w:styleId="BodyTextIndent2Char">
    <w:name w:val="Body Text Indent 2 Char"/>
    <w:basedOn w:val="DefaultParagraphFont"/>
    <w:link w:val="BodyTextIndent2"/>
    <w:uiPriority w:val="99"/>
    <w:semiHidden/>
    <w:rsid w:val="00F66A91"/>
    <w:rPr>
      <w:kern w:val="18"/>
    </w:rPr>
  </w:style>
  <w:style w:type="paragraph" w:styleId="BodyTextIndent3">
    <w:name w:val="Body Text Indent 3"/>
    <w:basedOn w:val="Normal"/>
    <w:link w:val="BodyTextIndent3Char"/>
    <w:uiPriority w:val="99"/>
    <w:semiHidden/>
    <w:unhideWhenUsed/>
    <w:rsid w:val="004C255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F66A91"/>
    <w:rPr>
      <w:kern w:val="18"/>
      <w:sz w:val="16"/>
      <w:szCs w:val="16"/>
    </w:rPr>
  </w:style>
  <w:style w:type="character" w:styleId="BookTitle">
    <w:name w:val="Book Title"/>
    <w:basedOn w:val="DefaultParagraphFont"/>
    <w:uiPriority w:val="33"/>
    <w:semiHidden/>
    <w:unhideWhenUsed/>
    <w:rsid w:val="004C255D"/>
    <w:rPr>
      <w:b/>
      <w:bCs/>
      <w:smallCaps/>
      <w:spacing w:val="5"/>
    </w:rPr>
  </w:style>
  <w:style w:type="paragraph" w:styleId="Closing">
    <w:name w:val="Closing"/>
    <w:basedOn w:val="Normal"/>
    <w:link w:val="ClosingChar"/>
    <w:uiPriority w:val="99"/>
    <w:semiHidden/>
    <w:unhideWhenUsed/>
    <w:rsid w:val="004C255D"/>
    <w:pPr>
      <w:spacing w:line="240" w:lineRule="auto"/>
      <w:ind w:left="4252"/>
    </w:pPr>
  </w:style>
  <w:style w:type="character" w:customStyle="1" w:styleId="ClosingChar">
    <w:name w:val="Closing Char"/>
    <w:basedOn w:val="DefaultParagraphFont"/>
    <w:link w:val="Closing"/>
    <w:uiPriority w:val="99"/>
    <w:semiHidden/>
    <w:rsid w:val="00F66A91"/>
    <w:rPr>
      <w:kern w:val="18"/>
    </w:rPr>
  </w:style>
  <w:style w:type="character" w:styleId="CommentReference">
    <w:name w:val="annotation reference"/>
    <w:basedOn w:val="DefaultParagraphFont"/>
    <w:uiPriority w:val="99"/>
    <w:semiHidden/>
    <w:unhideWhenUsed/>
    <w:rsid w:val="004C255D"/>
    <w:rPr>
      <w:sz w:val="16"/>
      <w:szCs w:val="16"/>
    </w:rPr>
  </w:style>
  <w:style w:type="paragraph" w:styleId="Date">
    <w:name w:val="Date"/>
    <w:basedOn w:val="Normal"/>
    <w:next w:val="Normal"/>
    <w:link w:val="DateChar"/>
    <w:uiPriority w:val="99"/>
    <w:semiHidden/>
    <w:unhideWhenUsed/>
    <w:rsid w:val="004C255D"/>
  </w:style>
  <w:style w:type="character" w:customStyle="1" w:styleId="DateChar">
    <w:name w:val="Date Char"/>
    <w:basedOn w:val="DefaultParagraphFont"/>
    <w:link w:val="Date"/>
    <w:uiPriority w:val="99"/>
    <w:semiHidden/>
    <w:rsid w:val="00F66A91"/>
    <w:rPr>
      <w:kern w:val="18"/>
    </w:rPr>
  </w:style>
  <w:style w:type="paragraph" w:styleId="DocumentMap">
    <w:name w:val="Document Map"/>
    <w:basedOn w:val="Normal"/>
    <w:link w:val="DocumentMapChar"/>
    <w:uiPriority w:val="99"/>
    <w:semiHidden/>
    <w:unhideWhenUsed/>
    <w:rsid w:val="004C255D"/>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F66A91"/>
    <w:rPr>
      <w:rFonts w:ascii="Tahoma" w:hAnsi="Tahoma" w:cs="Tahoma"/>
      <w:kern w:val="18"/>
      <w:sz w:val="16"/>
      <w:szCs w:val="16"/>
    </w:rPr>
  </w:style>
  <w:style w:type="paragraph" w:styleId="E-mailSignature">
    <w:name w:val="E-mail Signature"/>
    <w:basedOn w:val="Normal"/>
    <w:link w:val="E-mailSignatureChar"/>
    <w:uiPriority w:val="99"/>
    <w:semiHidden/>
    <w:unhideWhenUsed/>
    <w:rsid w:val="004C255D"/>
    <w:pPr>
      <w:spacing w:line="240" w:lineRule="auto"/>
    </w:pPr>
  </w:style>
  <w:style w:type="character" w:customStyle="1" w:styleId="E-mailSignatureChar">
    <w:name w:val="E-mail Signature Char"/>
    <w:basedOn w:val="DefaultParagraphFont"/>
    <w:link w:val="E-mailSignature"/>
    <w:uiPriority w:val="99"/>
    <w:semiHidden/>
    <w:rsid w:val="00F66A91"/>
    <w:rPr>
      <w:kern w:val="18"/>
    </w:rPr>
  </w:style>
  <w:style w:type="character" w:styleId="Emphasis">
    <w:name w:val="Emphasis"/>
    <w:basedOn w:val="DefaultParagraphFont"/>
    <w:uiPriority w:val="20"/>
    <w:semiHidden/>
    <w:unhideWhenUsed/>
    <w:rsid w:val="004C255D"/>
    <w:rPr>
      <w:i/>
      <w:iCs/>
    </w:rPr>
  </w:style>
  <w:style w:type="character" w:styleId="EndnoteReference">
    <w:name w:val="endnote reference"/>
    <w:basedOn w:val="DefaultParagraphFont"/>
    <w:uiPriority w:val="99"/>
    <w:semiHidden/>
    <w:unhideWhenUsed/>
    <w:rsid w:val="004C255D"/>
    <w:rPr>
      <w:vertAlign w:val="superscript"/>
    </w:rPr>
  </w:style>
  <w:style w:type="paragraph" w:styleId="EndnoteText">
    <w:name w:val="endnote text"/>
    <w:basedOn w:val="Normal"/>
    <w:link w:val="EndnoteTextChar"/>
    <w:uiPriority w:val="99"/>
    <w:semiHidden/>
    <w:unhideWhenUsed/>
    <w:rsid w:val="004C255D"/>
    <w:pPr>
      <w:spacing w:line="240" w:lineRule="auto"/>
    </w:pPr>
    <w:rPr>
      <w:sz w:val="20"/>
      <w:szCs w:val="20"/>
    </w:rPr>
  </w:style>
  <w:style w:type="character" w:customStyle="1" w:styleId="EndnoteTextChar">
    <w:name w:val="Endnote Text Char"/>
    <w:basedOn w:val="DefaultParagraphFont"/>
    <w:link w:val="EndnoteText"/>
    <w:uiPriority w:val="99"/>
    <w:semiHidden/>
    <w:rsid w:val="00F66A91"/>
    <w:rPr>
      <w:kern w:val="18"/>
      <w:sz w:val="20"/>
      <w:szCs w:val="20"/>
    </w:rPr>
  </w:style>
  <w:style w:type="paragraph" w:styleId="EnvelopeAddress">
    <w:name w:val="envelope address"/>
    <w:basedOn w:val="Normal"/>
    <w:uiPriority w:val="99"/>
    <w:semiHidden/>
    <w:unhideWhenUsed/>
    <w:rsid w:val="004C255D"/>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4C255D"/>
    <w:pPr>
      <w:spacing w:line="240" w:lineRule="auto"/>
    </w:pPr>
    <w:rPr>
      <w:rFonts w:asciiTheme="majorHAnsi" w:eastAsiaTheme="majorEastAsia" w:hAnsiTheme="majorHAnsi" w:cstheme="majorBidi"/>
      <w:sz w:val="20"/>
      <w:szCs w:val="20"/>
    </w:rPr>
  </w:style>
  <w:style w:type="character" w:styleId="HTMLAcronym">
    <w:name w:val="HTML Acronym"/>
    <w:basedOn w:val="DefaultParagraphFont"/>
    <w:uiPriority w:val="99"/>
    <w:semiHidden/>
    <w:unhideWhenUsed/>
    <w:rsid w:val="004C255D"/>
  </w:style>
  <w:style w:type="paragraph" w:styleId="HTMLAddress">
    <w:name w:val="HTML Address"/>
    <w:basedOn w:val="Normal"/>
    <w:link w:val="HTMLAddressChar"/>
    <w:uiPriority w:val="99"/>
    <w:semiHidden/>
    <w:unhideWhenUsed/>
    <w:rsid w:val="004C255D"/>
    <w:pPr>
      <w:spacing w:line="240" w:lineRule="auto"/>
    </w:pPr>
    <w:rPr>
      <w:i/>
      <w:iCs/>
    </w:rPr>
  </w:style>
  <w:style w:type="character" w:customStyle="1" w:styleId="HTMLAddressChar">
    <w:name w:val="HTML Address Char"/>
    <w:basedOn w:val="DefaultParagraphFont"/>
    <w:link w:val="HTMLAddress"/>
    <w:uiPriority w:val="99"/>
    <w:semiHidden/>
    <w:rsid w:val="00F66A91"/>
    <w:rPr>
      <w:i/>
      <w:iCs/>
      <w:kern w:val="18"/>
    </w:rPr>
  </w:style>
  <w:style w:type="character" w:styleId="HTMLCite">
    <w:name w:val="HTML Cite"/>
    <w:basedOn w:val="DefaultParagraphFont"/>
    <w:uiPriority w:val="99"/>
    <w:semiHidden/>
    <w:unhideWhenUsed/>
    <w:rsid w:val="004C255D"/>
    <w:rPr>
      <w:i/>
      <w:iCs/>
    </w:rPr>
  </w:style>
  <w:style w:type="character" w:styleId="HTMLCode">
    <w:name w:val="HTML Code"/>
    <w:basedOn w:val="DefaultParagraphFont"/>
    <w:uiPriority w:val="99"/>
    <w:semiHidden/>
    <w:unhideWhenUsed/>
    <w:rsid w:val="004C255D"/>
    <w:rPr>
      <w:rFonts w:ascii="Consolas" w:hAnsi="Consolas"/>
      <w:sz w:val="20"/>
      <w:szCs w:val="20"/>
    </w:rPr>
  </w:style>
  <w:style w:type="character" w:styleId="HTMLDefinition">
    <w:name w:val="HTML Definition"/>
    <w:basedOn w:val="DefaultParagraphFont"/>
    <w:uiPriority w:val="99"/>
    <w:semiHidden/>
    <w:unhideWhenUsed/>
    <w:rsid w:val="004C255D"/>
    <w:rPr>
      <w:i/>
      <w:iCs/>
    </w:rPr>
  </w:style>
  <w:style w:type="character" w:styleId="HTMLKeyboard">
    <w:name w:val="HTML Keyboard"/>
    <w:basedOn w:val="DefaultParagraphFont"/>
    <w:uiPriority w:val="99"/>
    <w:semiHidden/>
    <w:unhideWhenUsed/>
    <w:rsid w:val="004C255D"/>
    <w:rPr>
      <w:rFonts w:ascii="Consolas" w:hAnsi="Consolas"/>
      <w:sz w:val="20"/>
      <w:szCs w:val="20"/>
    </w:rPr>
  </w:style>
  <w:style w:type="paragraph" w:styleId="HTMLPreformatted">
    <w:name w:val="HTML Preformatted"/>
    <w:basedOn w:val="Normal"/>
    <w:link w:val="HTMLPreformattedChar"/>
    <w:uiPriority w:val="99"/>
    <w:semiHidden/>
    <w:unhideWhenUsed/>
    <w:rsid w:val="004C255D"/>
    <w:pPr>
      <w:spacing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F66A91"/>
    <w:rPr>
      <w:rFonts w:ascii="Consolas" w:hAnsi="Consolas"/>
      <w:kern w:val="18"/>
      <w:sz w:val="20"/>
      <w:szCs w:val="20"/>
    </w:rPr>
  </w:style>
  <w:style w:type="character" w:styleId="HTMLSample">
    <w:name w:val="HTML Sample"/>
    <w:basedOn w:val="DefaultParagraphFont"/>
    <w:uiPriority w:val="99"/>
    <w:semiHidden/>
    <w:unhideWhenUsed/>
    <w:rsid w:val="004C255D"/>
    <w:rPr>
      <w:rFonts w:ascii="Consolas" w:hAnsi="Consolas"/>
      <w:sz w:val="24"/>
      <w:szCs w:val="24"/>
    </w:rPr>
  </w:style>
  <w:style w:type="character" w:styleId="HTMLTypewriter">
    <w:name w:val="HTML Typewriter"/>
    <w:basedOn w:val="DefaultParagraphFont"/>
    <w:uiPriority w:val="99"/>
    <w:semiHidden/>
    <w:unhideWhenUsed/>
    <w:rsid w:val="004C255D"/>
    <w:rPr>
      <w:rFonts w:ascii="Consolas" w:hAnsi="Consolas"/>
      <w:sz w:val="20"/>
      <w:szCs w:val="20"/>
    </w:rPr>
  </w:style>
  <w:style w:type="character" w:styleId="HTMLVariable">
    <w:name w:val="HTML Variable"/>
    <w:basedOn w:val="DefaultParagraphFont"/>
    <w:uiPriority w:val="99"/>
    <w:semiHidden/>
    <w:unhideWhenUsed/>
    <w:rsid w:val="004C255D"/>
    <w:rPr>
      <w:i/>
      <w:iCs/>
    </w:rPr>
  </w:style>
  <w:style w:type="paragraph" w:styleId="Index1">
    <w:name w:val="index 1"/>
    <w:basedOn w:val="Normal"/>
    <w:next w:val="Normal"/>
    <w:autoRedefine/>
    <w:uiPriority w:val="99"/>
    <w:semiHidden/>
    <w:unhideWhenUsed/>
    <w:rsid w:val="004C255D"/>
    <w:pPr>
      <w:tabs>
        <w:tab w:val="clear" w:pos="284"/>
      </w:tabs>
      <w:spacing w:line="240" w:lineRule="auto"/>
      <w:ind w:left="180" w:hanging="180"/>
    </w:pPr>
  </w:style>
  <w:style w:type="paragraph" w:styleId="Index2">
    <w:name w:val="index 2"/>
    <w:basedOn w:val="Normal"/>
    <w:next w:val="Normal"/>
    <w:autoRedefine/>
    <w:uiPriority w:val="99"/>
    <w:semiHidden/>
    <w:unhideWhenUsed/>
    <w:rsid w:val="004C255D"/>
    <w:pPr>
      <w:tabs>
        <w:tab w:val="clear" w:pos="284"/>
      </w:tabs>
      <w:spacing w:line="240" w:lineRule="auto"/>
      <w:ind w:left="360" w:hanging="180"/>
    </w:pPr>
  </w:style>
  <w:style w:type="paragraph" w:styleId="Index3">
    <w:name w:val="index 3"/>
    <w:basedOn w:val="Normal"/>
    <w:next w:val="Normal"/>
    <w:autoRedefine/>
    <w:uiPriority w:val="99"/>
    <w:semiHidden/>
    <w:unhideWhenUsed/>
    <w:rsid w:val="004C255D"/>
    <w:pPr>
      <w:tabs>
        <w:tab w:val="clear" w:pos="284"/>
      </w:tabs>
      <w:spacing w:line="240" w:lineRule="auto"/>
      <w:ind w:left="540" w:hanging="180"/>
    </w:pPr>
  </w:style>
  <w:style w:type="paragraph" w:styleId="Index4">
    <w:name w:val="index 4"/>
    <w:basedOn w:val="Normal"/>
    <w:next w:val="Normal"/>
    <w:autoRedefine/>
    <w:uiPriority w:val="99"/>
    <w:semiHidden/>
    <w:unhideWhenUsed/>
    <w:rsid w:val="004C255D"/>
    <w:pPr>
      <w:tabs>
        <w:tab w:val="clear" w:pos="284"/>
      </w:tabs>
      <w:spacing w:line="240" w:lineRule="auto"/>
      <w:ind w:left="720" w:hanging="180"/>
    </w:pPr>
  </w:style>
  <w:style w:type="paragraph" w:styleId="Index5">
    <w:name w:val="index 5"/>
    <w:basedOn w:val="Normal"/>
    <w:next w:val="Normal"/>
    <w:autoRedefine/>
    <w:uiPriority w:val="99"/>
    <w:semiHidden/>
    <w:unhideWhenUsed/>
    <w:rsid w:val="004C255D"/>
    <w:pPr>
      <w:tabs>
        <w:tab w:val="clear" w:pos="284"/>
      </w:tabs>
      <w:spacing w:line="240" w:lineRule="auto"/>
      <w:ind w:left="900" w:hanging="180"/>
    </w:pPr>
  </w:style>
  <w:style w:type="paragraph" w:styleId="Index6">
    <w:name w:val="index 6"/>
    <w:basedOn w:val="Normal"/>
    <w:next w:val="Normal"/>
    <w:autoRedefine/>
    <w:uiPriority w:val="99"/>
    <w:semiHidden/>
    <w:unhideWhenUsed/>
    <w:rsid w:val="004C255D"/>
    <w:pPr>
      <w:tabs>
        <w:tab w:val="clear" w:pos="284"/>
      </w:tabs>
      <w:spacing w:line="240" w:lineRule="auto"/>
      <w:ind w:left="1080" w:hanging="180"/>
    </w:pPr>
  </w:style>
  <w:style w:type="paragraph" w:styleId="Index7">
    <w:name w:val="index 7"/>
    <w:basedOn w:val="Normal"/>
    <w:next w:val="Normal"/>
    <w:autoRedefine/>
    <w:uiPriority w:val="99"/>
    <w:semiHidden/>
    <w:unhideWhenUsed/>
    <w:rsid w:val="004C255D"/>
    <w:pPr>
      <w:tabs>
        <w:tab w:val="clear" w:pos="284"/>
      </w:tabs>
      <w:spacing w:line="240" w:lineRule="auto"/>
      <w:ind w:left="1260" w:hanging="180"/>
    </w:pPr>
  </w:style>
  <w:style w:type="paragraph" w:styleId="Index8">
    <w:name w:val="index 8"/>
    <w:basedOn w:val="Normal"/>
    <w:next w:val="Normal"/>
    <w:autoRedefine/>
    <w:uiPriority w:val="99"/>
    <w:semiHidden/>
    <w:unhideWhenUsed/>
    <w:rsid w:val="004C255D"/>
    <w:pPr>
      <w:tabs>
        <w:tab w:val="clear" w:pos="284"/>
      </w:tabs>
      <w:spacing w:line="240" w:lineRule="auto"/>
      <w:ind w:left="1440" w:hanging="180"/>
    </w:pPr>
  </w:style>
  <w:style w:type="paragraph" w:styleId="Index9">
    <w:name w:val="index 9"/>
    <w:basedOn w:val="Normal"/>
    <w:next w:val="Normal"/>
    <w:autoRedefine/>
    <w:uiPriority w:val="99"/>
    <w:semiHidden/>
    <w:unhideWhenUsed/>
    <w:rsid w:val="004C255D"/>
    <w:pPr>
      <w:tabs>
        <w:tab w:val="clear" w:pos="284"/>
      </w:tabs>
      <w:spacing w:line="240" w:lineRule="auto"/>
      <w:ind w:left="1620" w:hanging="180"/>
    </w:pPr>
  </w:style>
  <w:style w:type="paragraph" w:styleId="IndexHeading">
    <w:name w:val="index heading"/>
    <w:basedOn w:val="Normal"/>
    <w:next w:val="Index1"/>
    <w:uiPriority w:val="99"/>
    <w:semiHidden/>
    <w:unhideWhenUsed/>
    <w:rsid w:val="004C255D"/>
    <w:rPr>
      <w:rFonts w:asciiTheme="majorHAnsi" w:eastAsiaTheme="majorEastAsia" w:hAnsiTheme="majorHAnsi" w:cstheme="majorBidi"/>
      <w:b/>
      <w:bCs/>
    </w:rPr>
  </w:style>
  <w:style w:type="character" w:styleId="IntenseEmphasis">
    <w:name w:val="Intense Emphasis"/>
    <w:basedOn w:val="DefaultParagraphFont"/>
    <w:uiPriority w:val="21"/>
    <w:semiHidden/>
    <w:unhideWhenUsed/>
    <w:rsid w:val="004C255D"/>
    <w:rPr>
      <w:b/>
      <w:bCs/>
      <w:i/>
      <w:iCs/>
      <w:color w:val="00B5E2" w:themeColor="accent1"/>
    </w:rPr>
  </w:style>
  <w:style w:type="paragraph" w:styleId="IntenseQuote">
    <w:name w:val="Intense Quote"/>
    <w:basedOn w:val="Normal"/>
    <w:next w:val="Normal"/>
    <w:link w:val="IntenseQuoteChar"/>
    <w:uiPriority w:val="30"/>
    <w:semiHidden/>
    <w:unhideWhenUsed/>
    <w:rsid w:val="004C255D"/>
    <w:pPr>
      <w:pBdr>
        <w:bottom w:val="single" w:sz="4" w:space="4" w:color="00B5E2" w:themeColor="accent1"/>
      </w:pBdr>
      <w:spacing w:before="200" w:after="280"/>
      <w:ind w:left="936" w:right="936"/>
    </w:pPr>
    <w:rPr>
      <w:b/>
      <w:bCs/>
      <w:i/>
      <w:iCs/>
      <w:color w:val="00B5E2" w:themeColor="accent1"/>
    </w:rPr>
  </w:style>
  <w:style w:type="character" w:customStyle="1" w:styleId="IntenseQuoteChar">
    <w:name w:val="Intense Quote Char"/>
    <w:basedOn w:val="DefaultParagraphFont"/>
    <w:link w:val="IntenseQuote"/>
    <w:uiPriority w:val="30"/>
    <w:semiHidden/>
    <w:rsid w:val="00F66A91"/>
    <w:rPr>
      <w:b/>
      <w:bCs/>
      <w:i/>
      <w:iCs/>
      <w:color w:val="00B5E2" w:themeColor="accent1"/>
      <w:kern w:val="18"/>
    </w:rPr>
  </w:style>
  <w:style w:type="character" w:styleId="IntenseReference">
    <w:name w:val="Intense Reference"/>
    <w:basedOn w:val="DefaultParagraphFont"/>
    <w:uiPriority w:val="32"/>
    <w:semiHidden/>
    <w:unhideWhenUsed/>
    <w:rsid w:val="004C255D"/>
    <w:rPr>
      <w:b/>
      <w:bCs/>
      <w:smallCaps/>
      <w:color w:val="84BD00" w:themeColor="accent2"/>
      <w:spacing w:val="5"/>
      <w:u w:val="single"/>
    </w:rPr>
  </w:style>
  <w:style w:type="character" w:styleId="LineNumber">
    <w:name w:val="line number"/>
    <w:basedOn w:val="DefaultParagraphFont"/>
    <w:uiPriority w:val="99"/>
    <w:semiHidden/>
    <w:unhideWhenUsed/>
    <w:rsid w:val="004C255D"/>
  </w:style>
  <w:style w:type="paragraph" w:styleId="List">
    <w:name w:val="List"/>
    <w:basedOn w:val="Normal"/>
    <w:uiPriority w:val="99"/>
    <w:semiHidden/>
    <w:unhideWhenUsed/>
    <w:rsid w:val="004C255D"/>
    <w:pPr>
      <w:ind w:left="283" w:hanging="283"/>
      <w:contextualSpacing/>
    </w:pPr>
  </w:style>
  <w:style w:type="paragraph" w:styleId="List2">
    <w:name w:val="List 2"/>
    <w:basedOn w:val="Normal"/>
    <w:uiPriority w:val="99"/>
    <w:semiHidden/>
    <w:unhideWhenUsed/>
    <w:rsid w:val="004C255D"/>
    <w:pPr>
      <w:ind w:left="566" w:hanging="283"/>
      <w:contextualSpacing/>
    </w:pPr>
  </w:style>
  <w:style w:type="paragraph" w:styleId="List3">
    <w:name w:val="List 3"/>
    <w:basedOn w:val="Normal"/>
    <w:uiPriority w:val="99"/>
    <w:semiHidden/>
    <w:unhideWhenUsed/>
    <w:rsid w:val="004C255D"/>
    <w:pPr>
      <w:ind w:left="849" w:hanging="283"/>
      <w:contextualSpacing/>
    </w:pPr>
  </w:style>
  <w:style w:type="paragraph" w:styleId="List4">
    <w:name w:val="List 4"/>
    <w:basedOn w:val="Normal"/>
    <w:uiPriority w:val="99"/>
    <w:semiHidden/>
    <w:unhideWhenUsed/>
    <w:rsid w:val="004C255D"/>
    <w:pPr>
      <w:ind w:left="1132" w:hanging="283"/>
      <w:contextualSpacing/>
    </w:pPr>
  </w:style>
  <w:style w:type="paragraph" w:styleId="List5">
    <w:name w:val="List 5"/>
    <w:basedOn w:val="Normal"/>
    <w:uiPriority w:val="99"/>
    <w:semiHidden/>
    <w:unhideWhenUsed/>
    <w:rsid w:val="004C255D"/>
    <w:pPr>
      <w:ind w:left="1415" w:hanging="283"/>
      <w:contextualSpacing/>
    </w:pPr>
  </w:style>
  <w:style w:type="paragraph" w:styleId="ListBullet4">
    <w:name w:val="List Bullet 4"/>
    <w:basedOn w:val="Normal"/>
    <w:uiPriority w:val="99"/>
    <w:semiHidden/>
    <w:unhideWhenUsed/>
    <w:rsid w:val="004C255D"/>
    <w:pPr>
      <w:numPr>
        <w:numId w:val="3"/>
      </w:numPr>
      <w:contextualSpacing/>
    </w:pPr>
  </w:style>
  <w:style w:type="paragraph" w:styleId="ListBullet5">
    <w:name w:val="List Bullet 5"/>
    <w:basedOn w:val="Normal"/>
    <w:uiPriority w:val="99"/>
    <w:semiHidden/>
    <w:unhideWhenUsed/>
    <w:rsid w:val="004C255D"/>
    <w:pPr>
      <w:numPr>
        <w:numId w:val="4"/>
      </w:numPr>
      <w:contextualSpacing/>
    </w:pPr>
  </w:style>
  <w:style w:type="paragraph" w:styleId="ListContinue">
    <w:name w:val="List Continue"/>
    <w:basedOn w:val="Normal"/>
    <w:uiPriority w:val="99"/>
    <w:semiHidden/>
    <w:unhideWhenUsed/>
    <w:rsid w:val="004C255D"/>
    <w:pPr>
      <w:spacing w:after="120"/>
      <w:ind w:left="283"/>
      <w:contextualSpacing/>
    </w:pPr>
  </w:style>
  <w:style w:type="paragraph" w:styleId="ListContinue2">
    <w:name w:val="List Continue 2"/>
    <w:basedOn w:val="Normal"/>
    <w:uiPriority w:val="99"/>
    <w:semiHidden/>
    <w:unhideWhenUsed/>
    <w:rsid w:val="004C255D"/>
    <w:pPr>
      <w:spacing w:after="120"/>
      <w:ind w:left="566"/>
      <w:contextualSpacing/>
    </w:pPr>
  </w:style>
  <w:style w:type="paragraph" w:styleId="ListContinue3">
    <w:name w:val="List Continue 3"/>
    <w:basedOn w:val="Normal"/>
    <w:uiPriority w:val="99"/>
    <w:semiHidden/>
    <w:unhideWhenUsed/>
    <w:rsid w:val="004C255D"/>
    <w:pPr>
      <w:spacing w:after="120"/>
      <w:ind w:left="849"/>
      <w:contextualSpacing/>
    </w:pPr>
  </w:style>
  <w:style w:type="paragraph" w:styleId="ListContinue4">
    <w:name w:val="List Continue 4"/>
    <w:basedOn w:val="Normal"/>
    <w:uiPriority w:val="99"/>
    <w:semiHidden/>
    <w:unhideWhenUsed/>
    <w:rsid w:val="004C255D"/>
    <w:pPr>
      <w:spacing w:after="120"/>
      <w:ind w:left="1132"/>
      <w:contextualSpacing/>
    </w:pPr>
  </w:style>
  <w:style w:type="paragraph" w:styleId="ListContinue5">
    <w:name w:val="List Continue 5"/>
    <w:basedOn w:val="Normal"/>
    <w:uiPriority w:val="99"/>
    <w:semiHidden/>
    <w:unhideWhenUsed/>
    <w:rsid w:val="004C255D"/>
    <w:pPr>
      <w:spacing w:after="120"/>
      <w:ind w:left="1415"/>
      <w:contextualSpacing/>
    </w:pPr>
  </w:style>
  <w:style w:type="paragraph" w:styleId="ListNumber4">
    <w:name w:val="List Number 4"/>
    <w:basedOn w:val="Normal"/>
    <w:uiPriority w:val="99"/>
    <w:semiHidden/>
    <w:unhideWhenUsed/>
    <w:rsid w:val="004C255D"/>
    <w:pPr>
      <w:numPr>
        <w:numId w:val="5"/>
      </w:numPr>
      <w:contextualSpacing/>
    </w:pPr>
  </w:style>
  <w:style w:type="paragraph" w:styleId="ListNumber5">
    <w:name w:val="List Number 5"/>
    <w:basedOn w:val="Normal"/>
    <w:uiPriority w:val="99"/>
    <w:semiHidden/>
    <w:unhideWhenUsed/>
    <w:rsid w:val="004C255D"/>
    <w:pPr>
      <w:numPr>
        <w:numId w:val="6"/>
      </w:numPr>
      <w:contextualSpacing/>
    </w:pPr>
  </w:style>
  <w:style w:type="paragraph" w:styleId="ListParagraph">
    <w:name w:val="List Paragraph"/>
    <w:basedOn w:val="Normal"/>
    <w:uiPriority w:val="34"/>
    <w:unhideWhenUsed/>
    <w:qFormat/>
    <w:rsid w:val="004C255D"/>
    <w:pPr>
      <w:ind w:left="720"/>
      <w:contextualSpacing/>
    </w:pPr>
  </w:style>
  <w:style w:type="paragraph" w:styleId="MacroText">
    <w:name w:val="macro"/>
    <w:link w:val="MacroTextChar"/>
    <w:uiPriority w:val="99"/>
    <w:semiHidden/>
    <w:unhideWhenUsed/>
    <w:rsid w:val="004C255D"/>
    <w:pPr>
      <w:tabs>
        <w:tab w:val="left" w:pos="480"/>
        <w:tab w:val="left" w:pos="960"/>
        <w:tab w:val="left" w:pos="1440"/>
        <w:tab w:val="left" w:pos="1920"/>
        <w:tab w:val="left" w:pos="2400"/>
        <w:tab w:val="left" w:pos="2880"/>
        <w:tab w:val="left" w:pos="3360"/>
        <w:tab w:val="left" w:pos="3840"/>
        <w:tab w:val="left" w:pos="4320"/>
      </w:tabs>
      <w:spacing w:line="240" w:lineRule="atLeast"/>
    </w:pPr>
    <w:rPr>
      <w:rFonts w:ascii="Consolas" w:hAnsi="Consolas"/>
      <w:sz w:val="20"/>
      <w:szCs w:val="20"/>
    </w:rPr>
  </w:style>
  <w:style w:type="character" w:customStyle="1" w:styleId="MacroTextChar">
    <w:name w:val="Macro Text Char"/>
    <w:basedOn w:val="DefaultParagraphFont"/>
    <w:link w:val="MacroText"/>
    <w:uiPriority w:val="99"/>
    <w:semiHidden/>
    <w:rsid w:val="00F66A91"/>
    <w:rPr>
      <w:rFonts w:ascii="Consolas" w:hAnsi="Consolas"/>
      <w:sz w:val="20"/>
      <w:szCs w:val="20"/>
    </w:rPr>
  </w:style>
  <w:style w:type="paragraph" w:styleId="MessageHeader">
    <w:name w:val="Message Header"/>
    <w:basedOn w:val="Normal"/>
    <w:link w:val="MessageHeaderChar"/>
    <w:uiPriority w:val="99"/>
    <w:semiHidden/>
    <w:unhideWhenUsed/>
    <w:rsid w:val="004C255D"/>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F66A91"/>
    <w:rPr>
      <w:rFonts w:asciiTheme="majorHAnsi" w:eastAsiaTheme="majorEastAsia" w:hAnsiTheme="majorHAnsi" w:cstheme="majorBidi"/>
      <w:kern w:val="18"/>
      <w:sz w:val="24"/>
      <w:szCs w:val="24"/>
      <w:shd w:val="pct20" w:color="auto" w:fill="auto"/>
    </w:rPr>
  </w:style>
  <w:style w:type="paragraph" w:styleId="NoSpacing">
    <w:name w:val="No Spacing"/>
    <w:uiPriority w:val="1"/>
    <w:semiHidden/>
    <w:unhideWhenUsed/>
    <w:rsid w:val="004C255D"/>
    <w:pPr>
      <w:tabs>
        <w:tab w:val="left" w:pos="284"/>
      </w:tabs>
    </w:pPr>
  </w:style>
  <w:style w:type="paragraph" w:styleId="NormalWeb">
    <w:name w:val="Normal (Web)"/>
    <w:basedOn w:val="Normal"/>
    <w:uiPriority w:val="99"/>
    <w:semiHidden/>
    <w:unhideWhenUsed/>
    <w:rsid w:val="004C255D"/>
    <w:rPr>
      <w:rFonts w:ascii="Times New Roman" w:hAnsi="Times New Roman" w:cs="Times New Roman"/>
      <w:sz w:val="24"/>
      <w:szCs w:val="24"/>
    </w:rPr>
  </w:style>
  <w:style w:type="paragraph" w:styleId="NormalIndent">
    <w:name w:val="Normal Indent"/>
    <w:basedOn w:val="Normal"/>
    <w:uiPriority w:val="99"/>
    <w:semiHidden/>
    <w:unhideWhenUsed/>
    <w:rsid w:val="004C255D"/>
    <w:pPr>
      <w:ind w:left="720"/>
    </w:pPr>
  </w:style>
  <w:style w:type="paragraph" w:styleId="NoteHeading">
    <w:name w:val="Note Heading"/>
    <w:basedOn w:val="Normal"/>
    <w:next w:val="Normal"/>
    <w:link w:val="NoteHeadingChar"/>
    <w:uiPriority w:val="99"/>
    <w:semiHidden/>
    <w:unhideWhenUsed/>
    <w:rsid w:val="004C255D"/>
    <w:pPr>
      <w:spacing w:line="240" w:lineRule="auto"/>
    </w:pPr>
  </w:style>
  <w:style w:type="character" w:customStyle="1" w:styleId="NoteHeadingChar">
    <w:name w:val="Note Heading Char"/>
    <w:basedOn w:val="DefaultParagraphFont"/>
    <w:link w:val="NoteHeading"/>
    <w:uiPriority w:val="99"/>
    <w:semiHidden/>
    <w:rsid w:val="00F66A91"/>
    <w:rPr>
      <w:kern w:val="18"/>
    </w:rPr>
  </w:style>
  <w:style w:type="character" w:styleId="PageNumber">
    <w:name w:val="page number"/>
    <w:basedOn w:val="DefaultParagraphFont"/>
    <w:uiPriority w:val="99"/>
    <w:semiHidden/>
    <w:unhideWhenUsed/>
    <w:rsid w:val="004C255D"/>
  </w:style>
  <w:style w:type="character" w:styleId="PlaceholderText">
    <w:name w:val="Placeholder Text"/>
    <w:basedOn w:val="DefaultParagraphFont"/>
    <w:uiPriority w:val="99"/>
    <w:semiHidden/>
    <w:unhideWhenUsed/>
    <w:rsid w:val="004C255D"/>
    <w:rPr>
      <w:color w:val="808080"/>
    </w:rPr>
  </w:style>
  <w:style w:type="paragraph" w:styleId="PlainText">
    <w:name w:val="Plain Text"/>
    <w:basedOn w:val="Normal"/>
    <w:link w:val="PlainTextChar"/>
    <w:uiPriority w:val="99"/>
    <w:semiHidden/>
    <w:unhideWhenUsed/>
    <w:rsid w:val="004C255D"/>
    <w:pPr>
      <w:spacing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F66A91"/>
    <w:rPr>
      <w:rFonts w:ascii="Consolas" w:hAnsi="Consolas"/>
      <w:kern w:val="18"/>
      <w:sz w:val="21"/>
      <w:szCs w:val="21"/>
    </w:rPr>
  </w:style>
  <w:style w:type="paragraph" w:styleId="Salutation">
    <w:name w:val="Salutation"/>
    <w:basedOn w:val="Normal"/>
    <w:next w:val="Normal"/>
    <w:link w:val="SalutationChar"/>
    <w:uiPriority w:val="99"/>
    <w:semiHidden/>
    <w:unhideWhenUsed/>
    <w:rsid w:val="004C255D"/>
  </w:style>
  <w:style w:type="character" w:customStyle="1" w:styleId="SalutationChar">
    <w:name w:val="Salutation Char"/>
    <w:basedOn w:val="DefaultParagraphFont"/>
    <w:link w:val="Salutation"/>
    <w:uiPriority w:val="99"/>
    <w:semiHidden/>
    <w:rsid w:val="00F66A91"/>
    <w:rPr>
      <w:kern w:val="18"/>
    </w:rPr>
  </w:style>
  <w:style w:type="paragraph" w:styleId="Signature">
    <w:name w:val="Signature"/>
    <w:basedOn w:val="Normal"/>
    <w:link w:val="SignatureChar"/>
    <w:uiPriority w:val="99"/>
    <w:semiHidden/>
    <w:unhideWhenUsed/>
    <w:rsid w:val="004C255D"/>
    <w:pPr>
      <w:spacing w:line="240" w:lineRule="auto"/>
      <w:ind w:left="4252"/>
    </w:pPr>
  </w:style>
  <w:style w:type="character" w:customStyle="1" w:styleId="SignatureChar">
    <w:name w:val="Signature Char"/>
    <w:basedOn w:val="DefaultParagraphFont"/>
    <w:link w:val="Signature"/>
    <w:uiPriority w:val="99"/>
    <w:semiHidden/>
    <w:rsid w:val="00F66A91"/>
    <w:rPr>
      <w:kern w:val="18"/>
    </w:rPr>
  </w:style>
  <w:style w:type="character" w:styleId="SubtleEmphasis">
    <w:name w:val="Subtle Emphasis"/>
    <w:basedOn w:val="DefaultParagraphFont"/>
    <w:uiPriority w:val="19"/>
    <w:semiHidden/>
    <w:unhideWhenUsed/>
    <w:rsid w:val="004C255D"/>
    <w:rPr>
      <w:i/>
      <w:iCs/>
      <w:color w:val="808080" w:themeColor="text1" w:themeTint="7F"/>
    </w:rPr>
  </w:style>
  <w:style w:type="character" w:styleId="SubtleReference">
    <w:name w:val="Subtle Reference"/>
    <w:basedOn w:val="DefaultParagraphFont"/>
    <w:uiPriority w:val="31"/>
    <w:semiHidden/>
    <w:unhideWhenUsed/>
    <w:rsid w:val="004C255D"/>
    <w:rPr>
      <w:smallCaps/>
      <w:color w:val="84BD00" w:themeColor="accent2"/>
      <w:u w:val="single"/>
    </w:rPr>
  </w:style>
  <w:style w:type="paragraph" w:styleId="TableofAuthorities">
    <w:name w:val="table of authorities"/>
    <w:basedOn w:val="Normal"/>
    <w:next w:val="Normal"/>
    <w:uiPriority w:val="99"/>
    <w:semiHidden/>
    <w:unhideWhenUsed/>
    <w:rsid w:val="004C255D"/>
    <w:pPr>
      <w:tabs>
        <w:tab w:val="clear" w:pos="284"/>
      </w:tabs>
      <w:ind w:left="180" w:hanging="180"/>
    </w:pPr>
  </w:style>
  <w:style w:type="paragraph" w:styleId="TOAHeading">
    <w:name w:val="toa heading"/>
    <w:basedOn w:val="Normal"/>
    <w:next w:val="Normal"/>
    <w:uiPriority w:val="99"/>
    <w:semiHidden/>
    <w:unhideWhenUsed/>
    <w:rsid w:val="004C255D"/>
    <w:pPr>
      <w:spacing w:before="120"/>
    </w:pPr>
    <w:rPr>
      <w:rFonts w:asciiTheme="majorHAnsi" w:eastAsiaTheme="majorEastAsia" w:hAnsiTheme="majorHAnsi" w:cstheme="majorBidi"/>
      <w:b/>
      <w:bCs/>
      <w:sz w:val="24"/>
      <w:szCs w:val="24"/>
    </w:rPr>
  </w:style>
  <w:style w:type="paragraph" w:styleId="TOC4">
    <w:name w:val="toc 4"/>
    <w:basedOn w:val="Normal"/>
    <w:next w:val="Normal"/>
    <w:autoRedefine/>
    <w:uiPriority w:val="39"/>
    <w:unhideWhenUsed/>
    <w:rsid w:val="003964F2"/>
    <w:pPr>
      <w:tabs>
        <w:tab w:val="clear" w:pos="284"/>
        <w:tab w:val="right" w:leader="dot" w:pos="9026"/>
      </w:tabs>
      <w:spacing w:after="40"/>
      <w:ind w:left="1134" w:hanging="567"/>
    </w:pPr>
  </w:style>
  <w:style w:type="paragraph" w:styleId="TOC5">
    <w:name w:val="toc 5"/>
    <w:basedOn w:val="Normal"/>
    <w:next w:val="Normal"/>
    <w:autoRedefine/>
    <w:uiPriority w:val="39"/>
    <w:semiHidden/>
    <w:unhideWhenUsed/>
    <w:rsid w:val="004C255D"/>
    <w:pPr>
      <w:tabs>
        <w:tab w:val="clear" w:pos="284"/>
      </w:tabs>
      <w:spacing w:after="100"/>
      <w:ind w:left="720"/>
    </w:pPr>
  </w:style>
  <w:style w:type="paragraph" w:styleId="TOC6">
    <w:name w:val="toc 6"/>
    <w:basedOn w:val="Normal"/>
    <w:next w:val="Normal"/>
    <w:autoRedefine/>
    <w:uiPriority w:val="39"/>
    <w:semiHidden/>
    <w:unhideWhenUsed/>
    <w:rsid w:val="004C255D"/>
    <w:pPr>
      <w:tabs>
        <w:tab w:val="clear" w:pos="284"/>
      </w:tabs>
      <w:spacing w:after="100"/>
      <w:ind w:left="900"/>
    </w:pPr>
  </w:style>
  <w:style w:type="paragraph" w:styleId="TOC7">
    <w:name w:val="toc 7"/>
    <w:basedOn w:val="Normal"/>
    <w:next w:val="Normal"/>
    <w:autoRedefine/>
    <w:uiPriority w:val="39"/>
    <w:semiHidden/>
    <w:unhideWhenUsed/>
    <w:rsid w:val="004C255D"/>
    <w:pPr>
      <w:tabs>
        <w:tab w:val="clear" w:pos="284"/>
      </w:tabs>
      <w:spacing w:after="100"/>
      <w:ind w:left="1080"/>
    </w:pPr>
  </w:style>
  <w:style w:type="paragraph" w:styleId="TOC8">
    <w:name w:val="toc 8"/>
    <w:basedOn w:val="Normal"/>
    <w:next w:val="Normal"/>
    <w:autoRedefine/>
    <w:uiPriority w:val="39"/>
    <w:semiHidden/>
    <w:unhideWhenUsed/>
    <w:rsid w:val="004C255D"/>
    <w:pPr>
      <w:tabs>
        <w:tab w:val="clear" w:pos="284"/>
      </w:tabs>
      <w:spacing w:after="100"/>
      <w:ind w:left="1260"/>
    </w:pPr>
  </w:style>
  <w:style w:type="paragraph" w:styleId="TOC9">
    <w:name w:val="toc 9"/>
    <w:basedOn w:val="Normal"/>
    <w:next w:val="Normal"/>
    <w:autoRedefine/>
    <w:uiPriority w:val="39"/>
    <w:semiHidden/>
    <w:unhideWhenUsed/>
    <w:rsid w:val="004C255D"/>
    <w:pPr>
      <w:tabs>
        <w:tab w:val="clear" w:pos="284"/>
      </w:tabs>
      <w:spacing w:after="100"/>
      <w:ind w:left="1440"/>
    </w:pPr>
  </w:style>
  <w:style w:type="paragraph" w:customStyle="1" w:styleId="CVHeading">
    <w:name w:val="CV Heading"/>
    <w:basedOn w:val="BodyText"/>
    <w:uiPriority w:val="23"/>
    <w:qFormat/>
    <w:rsid w:val="004C255D"/>
    <w:pPr>
      <w:tabs>
        <w:tab w:val="clear" w:pos="284"/>
      </w:tabs>
    </w:pPr>
    <w:rPr>
      <w:rFonts w:asciiTheme="majorHAnsi" w:hAnsiTheme="majorHAnsi"/>
      <w:b/>
      <w:sz w:val="24"/>
    </w:rPr>
  </w:style>
  <w:style w:type="paragraph" w:customStyle="1" w:styleId="CVIntroduction">
    <w:name w:val="CV Introduction"/>
    <w:basedOn w:val="BodyText"/>
    <w:uiPriority w:val="22"/>
    <w:qFormat/>
    <w:rsid w:val="004C255D"/>
    <w:pPr>
      <w:pBdr>
        <w:top w:val="single" w:sz="4" w:space="6" w:color="auto"/>
        <w:bottom w:val="single" w:sz="4" w:space="6" w:color="auto"/>
      </w:pBdr>
      <w:tabs>
        <w:tab w:val="clear" w:pos="284"/>
      </w:tabs>
    </w:pPr>
    <w:rPr>
      <w:sz w:val="28"/>
    </w:rPr>
  </w:style>
  <w:style w:type="paragraph" w:customStyle="1" w:styleId="CVTitle">
    <w:name w:val="CV Title"/>
    <w:basedOn w:val="Normal"/>
    <w:uiPriority w:val="1"/>
    <w:semiHidden/>
    <w:unhideWhenUsed/>
    <w:rsid w:val="004C255D"/>
    <w:pPr>
      <w:tabs>
        <w:tab w:val="clear" w:pos="284"/>
      </w:tabs>
    </w:pPr>
    <w:rPr>
      <w:rFonts w:asciiTheme="majorHAnsi" w:hAnsiTheme="majorHAnsi"/>
      <w:color w:val="000000" w:themeColor="text1"/>
      <w:sz w:val="32"/>
    </w:rPr>
  </w:style>
  <w:style w:type="table" w:customStyle="1" w:styleId="Tablenoborders">
    <w:name w:val="Table no borders"/>
    <w:basedOn w:val="TableNormal"/>
    <w:uiPriority w:val="99"/>
    <w:semiHidden/>
    <w:unhideWhenUsed/>
    <w:rsid w:val="00C314D3"/>
    <w:tblPr>
      <w:tblCellMar>
        <w:left w:w="0" w:type="dxa"/>
        <w:right w:w="0" w:type="dxa"/>
      </w:tblCellMar>
    </w:tblPr>
  </w:style>
  <w:style w:type="numbering" w:customStyle="1" w:styleId="AECOMTableBullets">
    <w:name w:val="AECOM Table Bullets"/>
    <w:uiPriority w:val="99"/>
    <w:semiHidden/>
    <w:unhideWhenUsed/>
    <w:rsid w:val="002740A7"/>
    <w:pPr>
      <w:numPr>
        <w:numId w:val="16"/>
      </w:numPr>
    </w:pPr>
  </w:style>
  <w:style w:type="numbering" w:customStyle="1" w:styleId="AECOMTableNumbering">
    <w:name w:val="AECOM Table Numbering"/>
    <w:uiPriority w:val="99"/>
    <w:semiHidden/>
    <w:unhideWhenUsed/>
    <w:rsid w:val="002740A7"/>
    <w:pPr>
      <w:numPr>
        <w:numId w:val="17"/>
      </w:numPr>
    </w:pPr>
  </w:style>
  <w:style w:type="paragraph" w:customStyle="1" w:styleId="TableListBullet">
    <w:name w:val="Table List Bullet"/>
    <w:basedOn w:val="Normal"/>
    <w:uiPriority w:val="15"/>
    <w:qFormat/>
    <w:rsid w:val="002740A7"/>
    <w:pPr>
      <w:numPr>
        <w:numId w:val="19"/>
      </w:numPr>
      <w:tabs>
        <w:tab w:val="clear" w:pos="284"/>
      </w:tabs>
      <w:spacing w:after="40" w:line="240" w:lineRule="auto"/>
    </w:pPr>
    <w:rPr>
      <w:sz w:val="16"/>
    </w:rPr>
  </w:style>
  <w:style w:type="paragraph" w:customStyle="1" w:styleId="TableListBullet2">
    <w:name w:val="Table List Bullet 2"/>
    <w:basedOn w:val="Normal"/>
    <w:uiPriority w:val="16"/>
    <w:qFormat/>
    <w:rsid w:val="002740A7"/>
    <w:pPr>
      <w:numPr>
        <w:ilvl w:val="1"/>
        <w:numId w:val="19"/>
      </w:numPr>
      <w:tabs>
        <w:tab w:val="clear" w:pos="284"/>
      </w:tabs>
      <w:spacing w:after="40" w:line="240" w:lineRule="auto"/>
    </w:pPr>
    <w:rPr>
      <w:sz w:val="16"/>
    </w:rPr>
  </w:style>
  <w:style w:type="paragraph" w:customStyle="1" w:styleId="TableListBullet3">
    <w:name w:val="Table List Bullet 3"/>
    <w:basedOn w:val="Normal"/>
    <w:uiPriority w:val="17"/>
    <w:qFormat/>
    <w:rsid w:val="002740A7"/>
    <w:pPr>
      <w:numPr>
        <w:ilvl w:val="2"/>
        <w:numId w:val="19"/>
      </w:numPr>
      <w:tabs>
        <w:tab w:val="clear" w:pos="284"/>
      </w:tabs>
      <w:spacing w:after="40" w:line="240" w:lineRule="auto"/>
    </w:pPr>
    <w:rPr>
      <w:sz w:val="16"/>
    </w:rPr>
  </w:style>
  <w:style w:type="paragraph" w:customStyle="1" w:styleId="TableListNumber">
    <w:name w:val="Table List Number"/>
    <w:basedOn w:val="BodyText"/>
    <w:uiPriority w:val="18"/>
    <w:qFormat/>
    <w:rsid w:val="002740A7"/>
    <w:pPr>
      <w:numPr>
        <w:numId w:val="18"/>
      </w:numPr>
      <w:tabs>
        <w:tab w:val="clear" w:pos="284"/>
      </w:tabs>
      <w:spacing w:after="40" w:line="240" w:lineRule="auto"/>
    </w:pPr>
    <w:rPr>
      <w:sz w:val="16"/>
    </w:rPr>
  </w:style>
  <w:style w:type="paragraph" w:customStyle="1" w:styleId="TableListNumber2">
    <w:name w:val="Table List Number 2"/>
    <w:basedOn w:val="Normal"/>
    <w:uiPriority w:val="19"/>
    <w:qFormat/>
    <w:rsid w:val="002740A7"/>
    <w:pPr>
      <w:numPr>
        <w:ilvl w:val="1"/>
        <w:numId w:val="18"/>
      </w:numPr>
      <w:tabs>
        <w:tab w:val="clear" w:pos="284"/>
      </w:tabs>
      <w:spacing w:after="40" w:line="240" w:lineRule="auto"/>
    </w:pPr>
    <w:rPr>
      <w:sz w:val="16"/>
    </w:rPr>
  </w:style>
  <w:style w:type="paragraph" w:customStyle="1" w:styleId="TableListNumber3">
    <w:name w:val="Table List Number 3"/>
    <w:basedOn w:val="Normal"/>
    <w:uiPriority w:val="20"/>
    <w:qFormat/>
    <w:rsid w:val="002740A7"/>
    <w:pPr>
      <w:numPr>
        <w:ilvl w:val="2"/>
        <w:numId w:val="18"/>
      </w:numPr>
      <w:tabs>
        <w:tab w:val="clear" w:pos="284"/>
      </w:tabs>
      <w:spacing w:after="40" w:line="240" w:lineRule="auto"/>
    </w:pPr>
    <w:rPr>
      <w:sz w:val="16"/>
    </w:rPr>
  </w:style>
  <w:style w:type="paragraph" w:customStyle="1" w:styleId="Tabletext">
    <w:name w:val="Table text"/>
    <w:basedOn w:val="BodyText"/>
    <w:uiPriority w:val="14"/>
    <w:qFormat/>
    <w:rsid w:val="00AA045B"/>
    <w:pPr>
      <w:tabs>
        <w:tab w:val="clear" w:pos="284"/>
      </w:tabs>
      <w:spacing w:before="40" w:after="40" w:line="240" w:lineRule="auto"/>
    </w:pPr>
    <w:rPr>
      <w:sz w:val="16"/>
    </w:rPr>
  </w:style>
  <w:style w:type="paragraph" w:customStyle="1" w:styleId="Callout">
    <w:name w:val="Callout"/>
    <w:basedOn w:val="BodyText"/>
    <w:uiPriority w:val="1"/>
    <w:semiHidden/>
    <w:unhideWhenUsed/>
    <w:rsid w:val="00F352C7"/>
    <w:pPr>
      <w:spacing w:after="60"/>
    </w:pPr>
  </w:style>
  <w:style w:type="paragraph" w:customStyle="1" w:styleId="SQL">
    <w:name w:val="SQL"/>
    <w:uiPriority w:val="1"/>
    <w:semiHidden/>
    <w:unhideWhenUsed/>
    <w:rsid w:val="004D4675"/>
    <w:pPr>
      <w:spacing w:after="120" w:line="240" w:lineRule="atLeast"/>
    </w:pPr>
    <w:rPr>
      <w:sz w:val="16"/>
      <w:lang w:val="en-CA"/>
    </w:rPr>
  </w:style>
  <w:style w:type="table" w:customStyle="1" w:styleId="AECOMcolouredtable">
    <w:name w:val="AECOM coloured table"/>
    <w:basedOn w:val="TableNormal"/>
    <w:uiPriority w:val="99"/>
    <w:semiHidden/>
    <w:unhideWhenUsed/>
    <w:rsid w:val="00890ADA"/>
    <w:tblPr>
      <w:tblStyleRowBandSize w:val="1"/>
    </w:tblPr>
    <w:tblStylePr w:type="firstRow">
      <w:rPr>
        <w:b/>
        <w:color w:val="FFFFFF" w:themeColor="background1"/>
      </w:rPr>
      <w:tblPr/>
      <w:tcPr>
        <w:tcBorders>
          <w:bottom w:val="single" w:sz="12" w:space="0" w:color="FFFFFF" w:themeColor="background1"/>
          <w:insideV w:val="single" w:sz="4" w:space="0" w:color="FFFFFF" w:themeColor="background1"/>
        </w:tcBorders>
        <w:shd w:val="clear" w:color="auto" w:fill="00B5E2" w:themeFill="accent1"/>
      </w:tcPr>
    </w:tblStylePr>
    <w:tblStylePr w:type="firstCol">
      <w:rPr>
        <w:b/>
        <w:color w:val="FFFFFF" w:themeColor="background1"/>
      </w:rPr>
      <w:tblPr/>
      <w:tcPr>
        <w:tcBorders>
          <w:right w:val="single" w:sz="12" w:space="0" w:color="FFFFFF" w:themeColor="background1"/>
        </w:tcBorders>
        <w:shd w:val="clear" w:color="auto" w:fill="00B5E2" w:themeFill="accent1"/>
      </w:tcPr>
    </w:tblStylePr>
    <w:tblStylePr w:type="band1Horz">
      <w:tblPr/>
      <w:tcPr>
        <w:shd w:val="clear" w:color="auto" w:fill="C6F3FF" w:themeFill="accent1" w:themeFillTint="33"/>
      </w:tcPr>
    </w:tblStylePr>
    <w:tblStylePr w:type="band2Horz">
      <w:tblPr/>
      <w:tcPr>
        <w:shd w:val="clear" w:color="auto" w:fill="8DE8FF" w:themeFill="accent1" w:themeFillTint="66"/>
      </w:tcPr>
    </w:tblStylePr>
  </w:style>
  <w:style w:type="paragraph" w:customStyle="1" w:styleId="Appendixheading2">
    <w:name w:val="Appendix heading 2"/>
    <w:basedOn w:val="Heading2"/>
    <w:next w:val="BodyText"/>
    <w:uiPriority w:val="7"/>
    <w:qFormat/>
    <w:rsid w:val="005A1F44"/>
    <w:pPr>
      <w:numPr>
        <w:numId w:val="21"/>
      </w:numPr>
    </w:pPr>
  </w:style>
  <w:style w:type="paragraph" w:styleId="Revision">
    <w:name w:val="Revision"/>
    <w:hidden/>
    <w:uiPriority w:val="99"/>
    <w:semiHidden/>
    <w:rsid w:val="00C57544"/>
    <w:rPr>
      <w:kern w:val="18"/>
    </w:rPr>
  </w:style>
  <w:style w:type="paragraph" w:customStyle="1" w:styleId="Figure">
    <w:name w:val="Figure"/>
    <w:basedOn w:val="BodyText"/>
    <w:link w:val="FigureChar"/>
    <w:autoRedefine/>
    <w:uiPriority w:val="1"/>
    <w:qFormat/>
    <w:rsid w:val="00BE0DA4"/>
    <w:rPr>
      <w:b/>
      <w:sz w:val="20"/>
      <w:szCs w:val="22"/>
      <w:lang w:val="en-US"/>
    </w:rPr>
  </w:style>
  <w:style w:type="character" w:customStyle="1" w:styleId="FigureChar">
    <w:name w:val="Figure Char"/>
    <w:basedOn w:val="BodyTextChar"/>
    <w:link w:val="Figure"/>
    <w:uiPriority w:val="1"/>
    <w:rsid w:val="00BE0DA4"/>
    <w:rPr>
      <w:b/>
      <w:kern w:val="18"/>
      <w:sz w:val="20"/>
      <w:szCs w:val="22"/>
      <w:lang w:val="en-US"/>
    </w:rPr>
  </w:style>
  <w:style w:type="paragraph" w:customStyle="1" w:styleId="2BodyText">
    <w:name w:val="2 BodyText"/>
    <w:basedOn w:val="Normal"/>
    <w:rsid w:val="00D370D8"/>
    <w:pPr>
      <w:tabs>
        <w:tab w:val="clear" w:pos="284"/>
      </w:tabs>
      <w:spacing w:after="240"/>
    </w:pPr>
    <w:rPr>
      <w:rFonts w:ascii="Arial" w:eastAsia="Times New Roman" w:hAnsi="Arial" w:cs="Times New Roman"/>
      <w:kern w:val="0"/>
      <w:szCs w:val="2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782967">
      <w:bodyDiv w:val="1"/>
      <w:marLeft w:val="0"/>
      <w:marRight w:val="0"/>
      <w:marTop w:val="0"/>
      <w:marBottom w:val="0"/>
      <w:divBdr>
        <w:top w:val="none" w:sz="0" w:space="0" w:color="auto"/>
        <w:left w:val="none" w:sz="0" w:space="0" w:color="auto"/>
        <w:bottom w:val="none" w:sz="0" w:space="0" w:color="auto"/>
        <w:right w:val="none" w:sz="0" w:space="0" w:color="auto"/>
      </w:divBdr>
    </w:div>
    <w:div w:id="71007774">
      <w:bodyDiv w:val="1"/>
      <w:marLeft w:val="0"/>
      <w:marRight w:val="0"/>
      <w:marTop w:val="0"/>
      <w:marBottom w:val="0"/>
      <w:divBdr>
        <w:top w:val="none" w:sz="0" w:space="0" w:color="auto"/>
        <w:left w:val="none" w:sz="0" w:space="0" w:color="auto"/>
        <w:bottom w:val="none" w:sz="0" w:space="0" w:color="auto"/>
        <w:right w:val="none" w:sz="0" w:space="0" w:color="auto"/>
      </w:divBdr>
    </w:div>
    <w:div w:id="80101265">
      <w:bodyDiv w:val="1"/>
      <w:marLeft w:val="0"/>
      <w:marRight w:val="0"/>
      <w:marTop w:val="0"/>
      <w:marBottom w:val="0"/>
      <w:divBdr>
        <w:top w:val="none" w:sz="0" w:space="0" w:color="auto"/>
        <w:left w:val="none" w:sz="0" w:space="0" w:color="auto"/>
        <w:bottom w:val="none" w:sz="0" w:space="0" w:color="auto"/>
        <w:right w:val="none" w:sz="0" w:space="0" w:color="auto"/>
      </w:divBdr>
    </w:div>
    <w:div w:id="141973284">
      <w:bodyDiv w:val="1"/>
      <w:marLeft w:val="0"/>
      <w:marRight w:val="0"/>
      <w:marTop w:val="0"/>
      <w:marBottom w:val="0"/>
      <w:divBdr>
        <w:top w:val="none" w:sz="0" w:space="0" w:color="auto"/>
        <w:left w:val="none" w:sz="0" w:space="0" w:color="auto"/>
        <w:bottom w:val="none" w:sz="0" w:space="0" w:color="auto"/>
        <w:right w:val="none" w:sz="0" w:space="0" w:color="auto"/>
      </w:divBdr>
    </w:div>
    <w:div w:id="330833800">
      <w:bodyDiv w:val="1"/>
      <w:marLeft w:val="0"/>
      <w:marRight w:val="0"/>
      <w:marTop w:val="0"/>
      <w:marBottom w:val="0"/>
      <w:divBdr>
        <w:top w:val="none" w:sz="0" w:space="0" w:color="auto"/>
        <w:left w:val="none" w:sz="0" w:space="0" w:color="auto"/>
        <w:bottom w:val="none" w:sz="0" w:space="0" w:color="auto"/>
        <w:right w:val="none" w:sz="0" w:space="0" w:color="auto"/>
      </w:divBdr>
    </w:div>
    <w:div w:id="341707490">
      <w:bodyDiv w:val="1"/>
      <w:marLeft w:val="0"/>
      <w:marRight w:val="0"/>
      <w:marTop w:val="0"/>
      <w:marBottom w:val="0"/>
      <w:divBdr>
        <w:top w:val="none" w:sz="0" w:space="0" w:color="auto"/>
        <w:left w:val="none" w:sz="0" w:space="0" w:color="auto"/>
        <w:bottom w:val="none" w:sz="0" w:space="0" w:color="auto"/>
        <w:right w:val="none" w:sz="0" w:space="0" w:color="auto"/>
      </w:divBdr>
    </w:div>
    <w:div w:id="348802871">
      <w:bodyDiv w:val="1"/>
      <w:marLeft w:val="0"/>
      <w:marRight w:val="0"/>
      <w:marTop w:val="0"/>
      <w:marBottom w:val="0"/>
      <w:divBdr>
        <w:top w:val="none" w:sz="0" w:space="0" w:color="auto"/>
        <w:left w:val="none" w:sz="0" w:space="0" w:color="auto"/>
        <w:bottom w:val="none" w:sz="0" w:space="0" w:color="auto"/>
        <w:right w:val="none" w:sz="0" w:space="0" w:color="auto"/>
      </w:divBdr>
    </w:div>
    <w:div w:id="397826329">
      <w:bodyDiv w:val="1"/>
      <w:marLeft w:val="0"/>
      <w:marRight w:val="0"/>
      <w:marTop w:val="0"/>
      <w:marBottom w:val="0"/>
      <w:divBdr>
        <w:top w:val="none" w:sz="0" w:space="0" w:color="auto"/>
        <w:left w:val="none" w:sz="0" w:space="0" w:color="auto"/>
        <w:bottom w:val="none" w:sz="0" w:space="0" w:color="auto"/>
        <w:right w:val="none" w:sz="0" w:space="0" w:color="auto"/>
      </w:divBdr>
    </w:div>
    <w:div w:id="618922657">
      <w:bodyDiv w:val="1"/>
      <w:marLeft w:val="0"/>
      <w:marRight w:val="0"/>
      <w:marTop w:val="0"/>
      <w:marBottom w:val="0"/>
      <w:divBdr>
        <w:top w:val="none" w:sz="0" w:space="0" w:color="auto"/>
        <w:left w:val="none" w:sz="0" w:space="0" w:color="auto"/>
        <w:bottom w:val="none" w:sz="0" w:space="0" w:color="auto"/>
        <w:right w:val="none" w:sz="0" w:space="0" w:color="auto"/>
      </w:divBdr>
    </w:div>
    <w:div w:id="662704325">
      <w:bodyDiv w:val="1"/>
      <w:marLeft w:val="0"/>
      <w:marRight w:val="0"/>
      <w:marTop w:val="0"/>
      <w:marBottom w:val="0"/>
      <w:divBdr>
        <w:top w:val="none" w:sz="0" w:space="0" w:color="auto"/>
        <w:left w:val="none" w:sz="0" w:space="0" w:color="auto"/>
        <w:bottom w:val="none" w:sz="0" w:space="0" w:color="auto"/>
        <w:right w:val="none" w:sz="0" w:space="0" w:color="auto"/>
      </w:divBdr>
    </w:div>
    <w:div w:id="674267062">
      <w:bodyDiv w:val="1"/>
      <w:marLeft w:val="0"/>
      <w:marRight w:val="0"/>
      <w:marTop w:val="0"/>
      <w:marBottom w:val="0"/>
      <w:divBdr>
        <w:top w:val="none" w:sz="0" w:space="0" w:color="auto"/>
        <w:left w:val="none" w:sz="0" w:space="0" w:color="auto"/>
        <w:bottom w:val="none" w:sz="0" w:space="0" w:color="auto"/>
        <w:right w:val="none" w:sz="0" w:space="0" w:color="auto"/>
      </w:divBdr>
    </w:div>
    <w:div w:id="700131777">
      <w:bodyDiv w:val="1"/>
      <w:marLeft w:val="0"/>
      <w:marRight w:val="0"/>
      <w:marTop w:val="0"/>
      <w:marBottom w:val="0"/>
      <w:divBdr>
        <w:top w:val="none" w:sz="0" w:space="0" w:color="auto"/>
        <w:left w:val="none" w:sz="0" w:space="0" w:color="auto"/>
        <w:bottom w:val="none" w:sz="0" w:space="0" w:color="auto"/>
        <w:right w:val="none" w:sz="0" w:space="0" w:color="auto"/>
      </w:divBdr>
    </w:div>
    <w:div w:id="700252553">
      <w:bodyDiv w:val="1"/>
      <w:marLeft w:val="0"/>
      <w:marRight w:val="0"/>
      <w:marTop w:val="0"/>
      <w:marBottom w:val="0"/>
      <w:divBdr>
        <w:top w:val="none" w:sz="0" w:space="0" w:color="auto"/>
        <w:left w:val="none" w:sz="0" w:space="0" w:color="auto"/>
        <w:bottom w:val="none" w:sz="0" w:space="0" w:color="auto"/>
        <w:right w:val="none" w:sz="0" w:space="0" w:color="auto"/>
      </w:divBdr>
    </w:div>
    <w:div w:id="735473961">
      <w:bodyDiv w:val="1"/>
      <w:marLeft w:val="0"/>
      <w:marRight w:val="0"/>
      <w:marTop w:val="0"/>
      <w:marBottom w:val="0"/>
      <w:divBdr>
        <w:top w:val="none" w:sz="0" w:space="0" w:color="auto"/>
        <w:left w:val="none" w:sz="0" w:space="0" w:color="auto"/>
        <w:bottom w:val="none" w:sz="0" w:space="0" w:color="auto"/>
        <w:right w:val="none" w:sz="0" w:space="0" w:color="auto"/>
      </w:divBdr>
    </w:div>
    <w:div w:id="1192915472">
      <w:bodyDiv w:val="1"/>
      <w:marLeft w:val="0"/>
      <w:marRight w:val="0"/>
      <w:marTop w:val="0"/>
      <w:marBottom w:val="0"/>
      <w:divBdr>
        <w:top w:val="none" w:sz="0" w:space="0" w:color="auto"/>
        <w:left w:val="none" w:sz="0" w:space="0" w:color="auto"/>
        <w:bottom w:val="none" w:sz="0" w:space="0" w:color="auto"/>
        <w:right w:val="none" w:sz="0" w:space="0" w:color="auto"/>
      </w:divBdr>
    </w:div>
    <w:div w:id="1248881489">
      <w:bodyDiv w:val="1"/>
      <w:marLeft w:val="0"/>
      <w:marRight w:val="0"/>
      <w:marTop w:val="0"/>
      <w:marBottom w:val="0"/>
      <w:divBdr>
        <w:top w:val="none" w:sz="0" w:space="0" w:color="auto"/>
        <w:left w:val="none" w:sz="0" w:space="0" w:color="auto"/>
        <w:bottom w:val="none" w:sz="0" w:space="0" w:color="auto"/>
        <w:right w:val="none" w:sz="0" w:space="0" w:color="auto"/>
      </w:divBdr>
    </w:div>
    <w:div w:id="1296179795">
      <w:bodyDiv w:val="1"/>
      <w:marLeft w:val="0"/>
      <w:marRight w:val="0"/>
      <w:marTop w:val="0"/>
      <w:marBottom w:val="0"/>
      <w:divBdr>
        <w:top w:val="none" w:sz="0" w:space="0" w:color="auto"/>
        <w:left w:val="none" w:sz="0" w:space="0" w:color="auto"/>
        <w:bottom w:val="none" w:sz="0" w:space="0" w:color="auto"/>
        <w:right w:val="none" w:sz="0" w:space="0" w:color="auto"/>
      </w:divBdr>
    </w:div>
    <w:div w:id="1298339508">
      <w:bodyDiv w:val="1"/>
      <w:marLeft w:val="0"/>
      <w:marRight w:val="0"/>
      <w:marTop w:val="0"/>
      <w:marBottom w:val="0"/>
      <w:divBdr>
        <w:top w:val="none" w:sz="0" w:space="0" w:color="auto"/>
        <w:left w:val="none" w:sz="0" w:space="0" w:color="auto"/>
        <w:bottom w:val="none" w:sz="0" w:space="0" w:color="auto"/>
        <w:right w:val="none" w:sz="0" w:space="0" w:color="auto"/>
      </w:divBdr>
    </w:div>
    <w:div w:id="1496611048">
      <w:bodyDiv w:val="1"/>
      <w:marLeft w:val="0"/>
      <w:marRight w:val="0"/>
      <w:marTop w:val="0"/>
      <w:marBottom w:val="0"/>
      <w:divBdr>
        <w:top w:val="none" w:sz="0" w:space="0" w:color="auto"/>
        <w:left w:val="none" w:sz="0" w:space="0" w:color="auto"/>
        <w:bottom w:val="none" w:sz="0" w:space="0" w:color="auto"/>
        <w:right w:val="none" w:sz="0" w:space="0" w:color="auto"/>
      </w:divBdr>
    </w:div>
    <w:div w:id="1504082955">
      <w:bodyDiv w:val="1"/>
      <w:marLeft w:val="0"/>
      <w:marRight w:val="0"/>
      <w:marTop w:val="0"/>
      <w:marBottom w:val="0"/>
      <w:divBdr>
        <w:top w:val="none" w:sz="0" w:space="0" w:color="auto"/>
        <w:left w:val="none" w:sz="0" w:space="0" w:color="auto"/>
        <w:bottom w:val="none" w:sz="0" w:space="0" w:color="auto"/>
        <w:right w:val="none" w:sz="0" w:space="0" w:color="auto"/>
      </w:divBdr>
    </w:div>
    <w:div w:id="1535121996">
      <w:bodyDiv w:val="1"/>
      <w:marLeft w:val="0"/>
      <w:marRight w:val="0"/>
      <w:marTop w:val="0"/>
      <w:marBottom w:val="0"/>
      <w:divBdr>
        <w:top w:val="none" w:sz="0" w:space="0" w:color="auto"/>
        <w:left w:val="none" w:sz="0" w:space="0" w:color="auto"/>
        <w:bottom w:val="none" w:sz="0" w:space="0" w:color="auto"/>
        <w:right w:val="none" w:sz="0" w:space="0" w:color="auto"/>
      </w:divBdr>
    </w:div>
    <w:div w:id="1558012123">
      <w:bodyDiv w:val="1"/>
      <w:marLeft w:val="0"/>
      <w:marRight w:val="0"/>
      <w:marTop w:val="0"/>
      <w:marBottom w:val="0"/>
      <w:divBdr>
        <w:top w:val="none" w:sz="0" w:space="0" w:color="auto"/>
        <w:left w:val="none" w:sz="0" w:space="0" w:color="auto"/>
        <w:bottom w:val="none" w:sz="0" w:space="0" w:color="auto"/>
        <w:right w:val="none" w:sz="0" w:space="0" w:color="auto"/>
      </w:divBdr>
    </w:div>
    <w:div w:id="1911840009">
      <w:bodyDiv w:val="1"/>
      <w:marLeft w:val="0"/>
      <w:marRight w:val="0"/>
      <w:marTop w:val="0"/>
      <w:marBottom w:val="0"/>
      <w:divBdr>
        <w:top w:val="none" w:sz="0" w:space="0" w:color="auto"/>
        <w:left w:val="none" w:sz="0" w:space="0" w:color="auto"/>
        <w:bottom w:val="none" w:sz="0" w:space="0" w:color="auto"/>
        <w:right w:val="none" w:sz="0" w:space="0" w:color="auto"/>
      </w:divBdr>
    </w:div>
    <w:div w:id="2061318168">
      <w:bodyDiv w:val="1"/>
      <w:marLeft w:val="0"/>
      <w:marRight w:val="0"/>
      <w:marTop w:val="0"/>
      <w:marBottom w:val="0"/>
      <w:divBdr>
        <w:top w:val="none" w:sz="0" w:space="0" w:color="auto"/>
        <w:left w:val="none" w:sz="0" w:space="0" w:color="auto"/>
        <w:bottom w:val="none" w:sz="0" w:space="0" w:color="auto"/>
        <w:right w:val="none" w:sz="0" w:space="0" w:color="auto"/>
      </w:divBdr>
    </w:div>
    <w:div w:id="2061905065">
      <w:bodyDiv w:val="1"/>
      <w:marLeft w:val="0"/>
      <w:marRight w:val="0"/>
      <w:marTop w:val="0"/>
      <w:marBottom w:val="0"/>
      <w:divBdr>
        <w:top w:val="none" w:sz="0" w:space="0" w:color="auto"/>
        <w:left w:val="none" w:sz="0" w:space="0" w:color="auto"/>
        <w:bottom w:val="none" w:sz="0" w:space="0" w:color="auto"/>
        <w:right w:val="none" w:sz="0" w:space="0" w:color="auto"/>
      </w:divBdr>
    </w:div>
    <w:div w:id="2083017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1.xml"/><Relationship Id="rId18" Type="http://schemas.openxmlformats.org/officeDocument/2006/relationships/image" Target="media/image6.PNG"/><Relationship Id="rId26" Type="http://schemas.openxmlformats.org/officeDocument/2006/relationships/image" Target="media/image14.PNG"/><Relationship Id="rId39" Type="http://schemas.microsoft.com/office/2016/09/relationships/commentsIds" Target="commentsIds.xml"/><Relationship Id="rId3" Type="http://schemas.openxmlformats.org/officeDocument/2006/relationships/styles" Target="styles.xml"/><Relationship Id="rId21" Type="http://schemas.openxmlformats.org/officeDocument/2006/relationships/image" Target="media/image9.PNG"/><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footer" Target="footer2.xml"/><Relationship Id="rId38" Type="http://schemas.microsoft.com/office/2011/relationships/commentsExtended" Target="commentsExtended.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chart" Target="charts/chart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image" Target="media/image12.PNG"/><Relationship Id="rId32" Type="http://schemas.openxmlformats.org/officeDocument/2006/relationships/header" Target="header3.xml"/><Relationship Id="rId37" Type="http://schemas.microsoft.com/office/2011/relationships/people" Target="people.xml"/><Relationship Id="rId5" Type="http://schemas.openxmlformats.org/officeDocument/2006/relationships/settings" Target="settings.xml"/><Relationship Id="rId15" Type="http://schemas.openxmlformats.org/officeDocument/2006/relationships/chart" Target="charts/chart2.xml"/><Relationship Id="rId23" Type="http://schemas.openxmlformats.org/officeDocument/2006/relationships/image" Target="media/image11.png"/><Relationship Id="rId28" Type="http://schemas.openxmlformats.org/officeDocument/2006/relationships/image" Target="media/image15.png"/><Relationship Id="rId10" Type="http://schemas.openxmlformats.org/officeDocument/2006/relationships/image" Target="media/image2.png"/><Relationship Id="rId19" Type="http://schemas.openxmlformats.org/officeDocument/2006/relationships/image" Target="media/image7.PNG"/><Relationship Id="rId31"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3.png"/><Relationship Id="rId22" Type="http://schemas.openxmlformats.org/officeDocument/2006/relationships/image" Target="media/image10.PNG"/><Relationship Id="rId27" Type="http://schemas.openxmlformats.org/officeDocument/2006/relationships/chart" Target="charts/chart3.xml"/><Relationship Id="rId30" Type="http://schemas.openxmlformats.org/officeDocument/2006/relationships/image" Target="media/image16.PNG"/><Relationship Id="rId35"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www.housingcare.org/jargon-extra-care-housing.aspx" TargetMode="External"/><Relationship Id="rId2" Type="http://schemas.openxmlformats.org/officeDocument/2006/relationships/hyperlink" Target="http://www.housingcare.org/jargon-sheltered-housing.aspx" TargetMode="External"/><Relationship Id="rId1" Type="http://schemas.openxmlformats.org/officeDocument/2006/relationships/hyperlink" Target="https://www.gov.uk/government/news/councils-must-protect-our-precious-green-belt-land" TargetMode="External"/><Relationship Id="rId5" Type="http://schemas.openxmlformats.org/officeDocument/2006/relationships/hyperlink" Target="http://webarchive.nationalarchives.gov.uk/20160105222245/http://www.ons.gov.uk/ons/rel/census/2011-census-analysis/what-does-the-2011-census-tell-us-about-concealed-families-living-in-multi-family-households-in-england-and-wales-/sty-what-does-the-2011-census-tell-us-about-concealed-families.html" TargetMode="External"/><Relationship Id="rId4" Type="http://schemas.openxmlformats.org/officeDocument/2006/relationships/hyperlink" Target="http://www.featherstonecohousing.co.u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van.Tennant\AppData\Roaming\Microsoft\Templates\AECOM_Report.dotm"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uklon06pfpsw001\LN_Planning\PED%20London\PEL%20Projects\Current%20Projects\DCLG%20NP\7.%20New%20Contract%202015-8\Deliverables\D%20HNA%20Housing%20Needs\West%20Wittering\Deliverables\Need%20graph_WW.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uklon06pfpsw001\LN_Planning\PED%20London\PEL%20Projects\Current%20Projects\DCLG%20NP\7.%20New%20Contract%202015-8\Deliverables\D%20HNA%20Housing%20Needs\West%20Wittering\Research\Data\Census\HNA_dataDL_v2_Lachlan%20-%20West%20Wittering.xlsm" TargetMode="External"/></Relationships>
</file>

<file path=word/charts/_rels/chart3.xml.rels><?xml version="1.0" encoding="UTF-8" standalone="yes"?>
<Relationships xmlns="http://schemas.openxmlformats.org/package/2006/relationships"><Relationship Id="rId2" Type="http://schemas.openxmlformats.org/officeDocument/2006/relationships/oleObject" Target="file:///\\uklon06pfpsw001\LN_Planning\PED%20London\PEL%20Projects\Current%20Projects\DCLG%20NP\7.%20New%20Contract%202015-8\Deliverables\D%20HNA%20Housing%20Needs\West%20Wittering\Research\Data\Land%20Registry\Land%20Registry%20Data-West%20Wittering.xlsx" TargetMode="External"/><Relationship Id="rId1" Type="http://schemas.openxmlformats.org/officeDocument/2006/relationships/themeOverride" Target="../theme/themeOverride1.xml"/></Relationships>
</file>

<file path=word/charts/_rels/chart4.xml.rels><?xml version="1.0" encoding="UTF-8" standalone="yes"?>
<Relationships xmlns="http://schemas.openxmlformats.org/package/2006/relationships"><Relationship Id="rId2" Type="http://schemas.openxmlformats.org/officeDocument/2006/relationships/oleObject" Target="file:///\\uklon06pfpsw001\LN_Planning\PED%20London\PEL%20Projects\Current%20Projects\DCLG%20NP\7.%20New%20Contract%202015-8\Deliverables\D%20HNA%20Housing%20Needs\West%20Wittering\Research\Data\Land%20Registry\Land%20Registry%20Data-West%20Wittering.xlsx" TargetMode="External"/><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strRef>
              <c:f>Sheet1!$B$1</c:f>
              <c:strCache>
                <c:ptCount val="1"/>
                <c:pt idx="0">
                  <c:v>CLP (derived)</c:v>
                </c:pt>
              </c:strCache>
            </c:strRef>
          </c:tx>
          <c:marker>
            <c:symbol val="none"/>
          </c:marker>
          <c:cat>
            <c:numRef>
              <c:f>Sheet1!$A$2:$A$5</c:f>
              <c:numCache>
                <c:formatCode>m/d/yyyy</c:formatCode>
                <c:ptCount val="4"/>
                <c:pt idx="0">
                  <c:v>36892</c:v>
                </c:pt>
                <c:pt idx="1">
                  <c:v>40544</c:v>
                </c:pt>
                <c:pt idx="2">
                  <c:v>42736</c:v>
                </c:pt>
                <c:pt idx="3">
                  <c:v>48580</c:v>
                </c:pt>
              </c:numCache>
            </c:numRef>
          </c:cat>
          <c:val>
            <c:numRef>
              <c:f>Sheet1!$B$2:$B$5</c:f>
              <c:numCache>
                <c:formatCode>General</c:formatCode>
                <c:ptCount val="4"/>
                <c:pt idx="0">
                  <c:v>1666</c:v>
                </c:pt>
                <c:pt idx="1">
                  <c:v>1740</c:v>
                </c:pt>
                <c:pt idx="2">
                  <c:v>1811</c:v>
                </c:pt>
                <c:pt idx="3">
                  <c:v>1950</c:v>
                </c:pt>
              </c:numCache>
            </c:numRef>
          </c:val>
          <c:smooth val="0"/>
        </c:ser>
        <c:ser>
          <c:idx val="1"/>
          <c:order val="1"/>
          <c:tx>
            <c:strRef>
              <c:f>Sheet1!$C$1</c:f>
              <c:strCache>
                <c:ptCount val="1"/>
                <c:pt idx="0">
                  <c:v>ROAHN (derived)</c:v>
                </c:pt>
              </c:strCache>
            </c:strRef>
          </c:tx>
          <c:marker>
            <c:symbol val="none"/>
          </c:marker>
          <c:cat>
            <c:numRef>
              <c:f>Sheet1!$A$2:$A$5</c:f>
              <c:numCache>
                <c:formatCode>m/d/yyyy</c:formatCode>
                <c:ptCount val="4"/>
                <c:pt idx="0">
                  <c:v>36892</c:v>
                </c:pt>
                <c:pt idx="1">
                  <c:v>40544</c:v>
                </c:pt>
                <c:pt idx="2">
                  <c:v>42736</c:v>
                </c:pt>
                <c:pt idx="3">
                  <c:v>48580</c:v>
                </c:pt>
              </c:numCache>
            </c:numRef>
          </c:cat>
          <c:val>
            <c:numRef>
              <c:f>Sheet1!$C$2:$C$5</c:f>
              <c:numCache>
                <c:formatCode>General</c:formatCode>
                <c:ptCount val="4"/>
                <c:pt idx="0">
                  <c:v>1666</c:v>
                </c:pt>
                <c:pt idx="1">
                  <c:v>1740</c:v>
                </c:pt>
                <c:pt idx="2">
                  <c:v>1811</c:v>
                </c:pt>
                <c:pt idx="3">
                  <c:v>2015</c:v>
                </c:pt>
              </c:numCache>
            </c:numRef>
          </c:val>
          <c:smooth val="0"/>
        </c:ser>
        <c:ser>
          <c:idx val="2"/>
          <c:order val="2"/>
          <c:tx>
            <c:strRef>
              <c:f>Sheet1!$D$1</c:f>
              <c:strCache>
                <c:ptCount val="1"/>
                <c:pt idx="0">
                  <c:v>DHCLG Household Projections-derived</c:v>
                </c:pt>
              </c:strCache>
            </c:strRef>
          </c:tx>
          <c:marker>
            <c:symbol val="none"/>
          </c:marker>
          <c:cat>
            <c:numRef>
              <c:f>Sheet1!$A$2:$A$5</c:f>
              <c:numCache>
                <c:formatCode>m/d/yyyy</c:formatCode>
                <c:ptCount val="4"/>
                <c:pt idx="0">
                  <c:v>36892</c:v>
                </c:pt>
                <c:pt idx="1">
                  <c:v>40544</c:v>
                </c:pt>
                <c:pt idx="2">
                  <c:v>42736</c:v>
                </c:pt>
                <c:pt idx="3">
                  <c:v>48580</c:v>
                </c:pt>
              </c:numCache>
            </c:numRef>
          </c:cat>
          <c:val>
            <c:numRef>
              <c:f>Sheet1!$D$2:$D$5</c:f>
              <c:numCache>
                <c:formatCode>General</c:formatCode>
                <c:ptCount val="4"/>
                <c:pt idx="0">
                  <c:v>1666</c:v>
                </c:pt>
                <c:pt idx="1">
                  <c:v>1740</c:v>
                </c:pt>
                <c:pt idx="2">
                  <c:v>1811</c:v>
                </c:pt>
                <c:pt idx="3">
                  <c:v>2060</c:v>
                </c:pt>
              </c:numCache>
            </c:numRef>
          </c:val>
          <c:smooth val="0"/>
        </c:ser>
        <c:ser>
          <c:idx val="3"/>
          <c:order val="3"/>
          <c:tx>
            <c:strRef>
              <c:f>Sheet1!$E$1</c:f>
              <c:strCache>
                <c:ptCount val="1"/>
                <c:pt idx="0">
                  <c:v>Dwelling completions 2001-2017 derived</c:v>
                </c:pt>
              </c:strCache>
            </c:strRef>
          </c:tx>
          <c:marker>
            <c:symbol val="none"/>
          </c:marker>
          <c:cat>
            <c:numRef>
              <c:f>Sheet1!$A$2:$A$5</c:f>
              <c:numCache>
                <c:formatCode>m/d/yyyy</c:formatCode>
                <c:ptCount val="4"/>
                <c:pt idx="0">
                  <c:v>36892</c:v>
                </c:pt>
                <c:pt idx="1">
                  <c:v>40544</c:v>
                </c:pt>
                <c:pt idx="2">
                  <c:v>42736</c:v>
                </c:pt>
                <c:pt idx="3">
                  <c:v>48580</c:v>
                </c:pt>
              </c:numCache>
            </c:numRef>
          </c:cat>
          <c:val>
            <c:numRef>
              <c:f>Sheet1!$E$2:$E$5</c:f>
              <c:numCache>
                <c:formatCode>General</c:formatCode>
                <c:ptCount val="4"/>
                <c:pt idx="0">
                  <c:v>1666</c:v>
                </c:pt>
                <c:pt idx="1">
                  <c:v>1740</c:v>
                </c:pt>
                <c:pt idx="2">
                  <c:v>1811</c:v>
                </c:pt>
                <c:pt idx="3">
                  <c:v>1947</c:v>
                </c:pt>
              </c:numCache>
            </c:numRef>
          </c:val>
          <c:smooth val="0"/>
        </c:ser>
        <c:ser>
          <c:idx val="4"/>
          <c:order val="4"/>
          <c:tx>
            <c:strRef>
              <c:f>Sheet1!#REF!</c:f>
              <c:strCache>
                <c:ptCount val="1"/>
                <c:pt idx="0">
                  <c:v>#REF!</c:v>
                </c:pt>
              </c:strCache>
            </c:strRef>
          </c:tx>
          <c:marker>
            <c:symbol val="none"/>
          </c:marker>
          <c:cat>
            <c:numRef>
              <c:f>Sheet1!$A$2:$A$5</c:f>
              <c:numCache>
                <c:formatCode>m/d/yyyy</c:formatCode>
                <c:ptCount val="4"/>
                <c:pt idx="0">
                  <c:v>36892</c:v>
                </c:pt>
                <c:pt idx="1">
                  <c:v>40544</c:v>
                </c:pt>
                <c:pt idx="2">
                  <c:v>42736</c:v>
                </c:pt>
                <c:pt idx="3">
                  <c:v>48580</c:v>
                </c:pt>
              </c:numCache>
            </c:numRef>
          </c:cat>
          <c:val>
            <c:numRef>
              <c:f>Sheet1!#REF!</c:f>
              <c:numCache>
                <c:formatCode>General</c:formatCode>
                <c:ptCount val="1"/>
                <c:pt idx="0">
                  <c:v>1</c:v>
                </c:pt>
              </c:numCache>
            </c:numRef>
          </c:val>
          <c:smooth val="0"/>
        </c:ser>
        <c:dLbls>
          <c:showLegendKey val="0"/>
          <c:showVal val="0"/>
          <c:showCatName val="0"/>
          <c:showSerName val="0"/>
          <c:showPercent val="0"/>
          <c:showBubbleSize val="0"/>
        </c:dLbls>
        <c:marker val="1"/>
        <c:smooth val="0"/>
        <c:axId val="190741120"/>
        <c:axId val="190742912"/>
      </c:lineChart>
      <c:dateAx>
        <c:axId val="190741120"/>
        <c:scaling>
          <c:orientation val="minMax"/>
          <c:max val="48945"/>
        </c:scaling>
        <c:delete val="0"/>
        <c:axPos val="b"/>
        <c:numFmt formatCode="yyyy" sourceLinked="0"/>
        <c:majorTickMark val="out"/>
        <c:minorTickMark val="none"/>
        <c:tickLblPos val="nextTo"/>
        <c:crossAx val="190742912"/>
        <c:crosses val="autoZero"/>
        <c:auto val="1"/>
        <c:lblOffset val="100"/>
        <c:baseTimeUnit val="years"/>
        <c:majorUnit val="10"/>
        <c:majorTimeUnit val="years"/>
      </c:dateAx>
      <c:valAx>
        <c:axId val="190742912"/>
        <c:scaling>
          <c:orientation val="minMax"/>
          <c:max val="2100"/>
          <c:min val="1500"/>
        </c:scaling>
        <c:delete val="0"/>
        <c:axPos val="l"/>
        <c:majorGridlines/>
        <c:numFmt formatCode="General" sourceLinked="1"/>
        <c:majorTickMark val="out"/>
        <c:minorTickMark val="none"/>
        <c:tickLblPos val="nextTo"/>
        <c:crossAx val="190741120"/>
        <c:crosses val="autoZero"/>
        <c:crossBetween val="between"/>
      </c:valAx>
    </c:plotArea>
    <c:legend>
      <c:legendPos val="r"/>
      <c:layout>
        <c:manualLayout>
          <c:xMode val="edge"/>
          <c:yMode val="edge"/>
          <c:x val="0.75422277267866078"/>
          <c:y val="0.39505746060193686"/>
          <c:w val="0.24577728564980966"/>
          <c:h val="0.42459890938197054"/>
        </c:manualLayout>
      </c:layout>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OUTPUT!$Q$25</c:f>
              <c:strCache>
                <c:ptCount val="1"/>
                <c:pt idx="0">
                  <c:v>West Wittering</c:v>
                </c:pt>
              </c:strCache>
            </c:strRef>
          </c:tx>
          <c:invertIfNegative val="0"/>
          <c:cat>
            <c:strRef>
              <c:f>OUTPUT!$P$26:$P$31</c:f>
              <c:strCache>
                <c:ptCount val="6"/>
                <c:pt idx="0">
                  <c:v>0-15</c:v>
                </c:pt>
                <c:pt idx="1">
                  <c:v>16-24</c:v>
                </c:pt>
                <c:pt idx="2">
                  <c:v>25-44</c:v>
                </c:pt>
                <c:pt idx="3">
                  <c:v>45-64</c:v>
                </c:pt>
                <c:pt idx="4">
                  <c:v>65-84</c:v>
                </c:pt>
                <c:pt idx="5">
                  <c:v>85 and over</c:v>
                </c:pt>
              </c:strCache>
            </c:strRef>
          </c:cat>
          <c:val>
            <c:numRef>
              <c:f>OUTPUT!$Q$26:$Q$31</c:f>
              <c:numCache>
                <c:formatCode>0%</c:formatCode>
                <c:ptCount val="6"/>
                <c:pt idx="0">
                  <c:v>0.10851851851851851</c:v>
                </c:pt>
                <c:pt idx="1">
                  <c:v>6.1851851851851852E-2</c:v>
                </c:pt>
                <c:pt idx="2">
                  <c:v>0.14000000000000001</c:v>
                </c:pt>
                <c:pt idx="3">
                  <c:v>0.2688888888888889</c:v>
                </c:pt>
                <c:pt idx="4">
                  <c:v>0.34333333333333332</c:v>
                </c:pt>
                <c:pt idx="5">
                  <c:v>7.7407407407407411E-2</c:v>
                </c:pt>
              </c:numCache>
            </c:numRef>
          </c:val>
        </c:ser>
        <c:ser>
          <c:idx val="1"/>
          <c:order val="1"/>
          <c:tx>
            <c:strRef>
              <c:f>OUTPUT!$R$25</c:f>
              <c:strCache>
                <c:ptCount val="1"/>
                <c:pt idx="0">
                  <c:v>Chichester</c:v>
                </c:pt>
              </c:strCache>
            </c:strRef>
          </c:tx>
          <c:invertIfNegative val="0"/>
          <c:cat>
            <c:strRef>
              <c:f>OUTPUT!$P$26:$P$31</c:f>
              <c:strCache>
                <c:ptCount val="6"/>
                <c:pt idx="0">
                  <c:v>0-15</c:v>
                </c:pt>
                <c:pt idx="1">
                  <c:v>16-24</c:v>
                </c:pt>
                <c:pt idx="2">
                  <c:v>25-44</c:v>
                </c:pt>
                <c:pt idx="3">
                  <c:v>45-64</c:v>
                </c:pt>
                <c:pt idx="4">
                  <c:v>65-84</c:v>
                </c:pt>
                <c:pt idx="5">
                  <c:v>85 and over</c:v>
                </c:pt>
              </c:strCache>
            </c:strRef>
          </c:cat>
          <c:val>
            <c:numRef>
              <c:f>OUTPUT!$R$26:$R$31</c:f>
              <c:numCache>
                <c:formatCode>0%</c:formatCode>
                <c:ptCount val="6"/>
                <c:pt idx="0">
                  <c:v>0.16374325535616993</c:v>
                </c:pt>
                <c:pt idx="1">
                  <c:v>0.10069072183067648</c:v>
                </c:pt>
                <c:pt idx="2">
                  <c:v>0.2106701583563281</c:v>
                </c:pt>
                <c:pt idx="3">
                  <c:v>0.27976870485262845</c:v>
                </c:pt>
                <c:pt idx="4">
                  <c:v>0.20740988101305868</c:v>
                </c:pt>
                <c:pt idx="5">
                  <c:v>3.7717278591138374E-2</c:v>
                </c:pt>
              </c:numCache>
            </c:numRef>
          </c:val>
        </c:ser>
        <c:ser>
          <c:idx val="2"/>
          <c:order val="2"/>
          <c:tx>
            <c:strRef>
              <c:f>OUTPUT!$S$25</c:f>
              <c:strCache>
                <c:ptCount val="1"/>
                <c:pt idx="0">
                  <c:v>England</c:v>
                </c:pt>
              </c:strCache>
            </c:strRef>
          </c:tx>
          <c:invertIfNegative val="0"/>
          <c:cat>
            <c:strRef>
              <c:f>OUTPUT!$P$26:$P$31</c:f>
              <c:strCache>
                <c:ptCount val="6"/>
                <c:pt idx="0">
                  <c:v>0-15</c:v>
                </c:pt>
                <c:pt idx="1">
                  <c:v>16-24</c:v>
                </c:pt>
                <c:pt idx="2">
                  <c:v>25-44</c:v>
                </c:pt>
                <c:pt idx="3">
                  <c:v>45-64</c:v>
                </c:pt>
                <c:pt idx="4">
                  <c:v>65-84</c:v>
                </c:pt>
                <c:pt idx="5">
                  <c:v>85 and over</c:v>
                </c:pt>
              </c:strCache>
            </c:strRef>
          </c:cat>
          <c:val>
            <c:numRef>
              <c:f>OUTPUT!$S$26:$S$31</c:f>
              <c:numCache>
                <c:formatCode>0%</c:formatCode>
                <c:ptCount val="6"/>
                <c:pt idx="0">
                  <c:v>0.18906567920565684</c:v>
                </c:pt>
                <c:pt idx="1">
                  <c:v>0.11855251528055973</c:v>
                </c:pt>
                <c:pt idx="2">
                  <c:v>0.27531552207277477</c:v>
                </c:pt>
                <c:pt idx="3">
                  <c:v>0.25369847041231214</c:v>
                </c:pt>
                <c:pt idx="4">
                  <c:v>0.14110647882452382</c:v>
                </c:pt>
                <c:pt idx="5">
                  <c:v>2.2261334204172693E-2</c:v>
                </c:pt>
              </c:numCache>
            </c:numRef>
          </c:val>
        </c:ser>
        <c:dLbls>
          <c:showLegendKey val="0"/>
          <c:showVal val="0"/>
          <c:showCatName val="0"/>
          <c:showSerName val="0"/>
          <c:showPercent val="0"/>
          <c:showBubbleSize val="0"/>
        </c:dLbls>
        <c:gapWidth val="150"/>
        <c:axId val="190773888"/>
        <c:axId val="190845696"/>
      </c:barChart>
      <c:catAx>
        <c:axId val="190773888"/>
        <c:scaling>
          <c:orientation val="minMax"/>
        </c:scaling>
        <c:delete val="0"/>
        <c:axPos val="b"/>
        <c:title>
          <c:tx>
            <c:rich>
              <a:bodyPr/>
              <a:lstStyle/>
              <a:p>
                <a:pPr>
                  <a:defRPr/>
                </a:pPr>
                <a:r>
                  <a:rPr lang="en-US"/>
                  <a:t>Age</a:t>
                </a:r>
                <a:r>
                  <a:rPr lang="en-US" baseline="0"/>
                  <a:t> band</a:t>
                </a:r>
                <a:endParaRPr lang="en-US"/>
              </a:p>
            </c:rich>
          </c:tx>
          <c:overlay val="0"/>
        </c:title>
        <c:majorTickMark val="out"/>
        <c:minorTickMark val="none"/>
        <c:tickLblPos val="nextTo"/>
        <c:crossAx val="190845696"/>
        <c:crosses val="autoZero"/>
        <c:auto val="1"/>
        <c:lblAlgn val="ctr"/>
        <c:lblOffset val="100"/>
        <c:noMultiLvlLbl val="0"/>
      </c:catAx>
      <c:valAx>
        <c:axId val="190845696"/>
        <c:scaling>
          <c:orientation val="minMax"/>
        </c:scaling>
        <c:delete val="0"/>
        <c:axPos val="l"/>
        <c:majorGridlines/>
        <c:title>
          <c:tx>
            <c:rich>
              <a:bodyPr rot="-5400000" vert="horz"/>
              <a:lstStyle/>
              <a:p>
                <a:pPr>
                  <a:defRPr b="1"/>
                </a:pPr>
                <a:r>
                  <a:rPr lang="en-CA" b="1"/>
                  <a:t>Percentage of</a:t>
                </a:r>
                <a:r>
                  <a:rPr lang="en-CA" b="1" baseline="0"/>
                  <a:t> Population</a:t>
                </a:r>
              </a:p>
            </c:rich>
          </c:tx>
          <c:overlay val="0"/>
        </c:title>
        <c:numFmt formatCode="0%" sourceLinked="1"/>
        <c:majorTickMark val="out"/>
        <c:minorTickMark val="none"/>
        <c:tickLblPos val="nextTo"/>
        <c:crossAx val="190773888"/>
        <c:crosses val="autoZero"/>
        <c:crossBetween val="between"/>
      </c:valAx>
    </c:plotArea>
    <c:legend>
      <c:legendPos val="r"/>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lineChart>
        <c:grouping val="standard"/>
        <c:varyColors val="0"/>
        <c:ser>
          <c:idx val="1"/>
          <c:order val="0"/>
          <c:tx>
            <c:strRef>
              <c:f>'OUTPUT COMES HERE'!$A$38</c:f>
              <c:strCache>
                <c:ptCount val="1"/>
                <c:pt idx="0">
                  <c:v>Detached</c:v>
                </c:pt>
              </c:strCache>
            </c:strRef>
          </c:tx>
          <c:marker>
            <c:symbol val="none"/>
          </c:marker>
          <c:cat>
            <c:numRef>
              <c:f>'OUTPUT COMES HERE'!$B$37:$K$37</c:f>
              <c:numCache>
                <c:formatCode>General</c:formatCode>
                <c:ptCount val="10"/>
                <c:pt idx="0">
                  <c:v>2007</c:v>
                </c:pt>
                <c:pt idx="1">
                  <c:v>2008</c:v>
                </c:pt>
                <c:pt idx="2">
                  <c:v>2009</c:v>
                </c:pt>
                <c:pt idx="3">
                  <c:v>2010</c:v>
                </c:pt>
                <c:pt idx="4">
                  <c:v>2011</c:v>
                </c:pt>
                <c:pt idx="5">
                  <c:v>2012</c:v>
                </c:pt>
                <c:pt idx="6">
                  <c:v>2013</c:v>
                </c:pt>
                <c:pt idx="7">
                  <c:v>2014</c:v>
                </c:pt>
                <c:pt idx="8">
                  <c:v>2015</c:v>
                </c:pt>
                <c:pt idx="9">
                  <c:v>2016</c:v>
                </c:pt>
              </c:numCache>
            </c:numRef>
          </c:cat>
          <c:val>
            <c:numRef>
              <c:f>'OUTPUT COMES HERE'!$B$38:$K$38</c:f>
              <c:numCache>
                <c:formatCode>#,##0</c:formatCode>
                <c:ptCount val="10"/>
                <c:pt idx="0">
                  <c:v>591476.27586206899</c:v>
                </c:pt>
                <c:pt idx="1">
                  <c:v>520298.38709677418</c:v>
                </c:pt>
                <c:pt idx="2">
                  <c:v>489822.14285714284</c:v>
                </c:pt>
                <c:pt idx="3">
                  <c:v>532190.32258064521</c:v>
                </c:pt>
                <c:pt idx="4">
                  <c:v>485838.55555555556</c:v>
                </c:pt>
                <c:pt idx="5">
                  <c:v>487209.18421052629</c:v>
                </c:pt>
                <c:pt idx="6">
                  <c:v>577435.4444444445</c:v>
                </c:pt>
                <c:pt idx="7">
                  <c:v>580757.15686274506</c:v>
                </c:pt>
                <c:pt idx="8">
                  <c:v>642918.80000000005</c:v>
                </c:pt>
                <c:pt idx="9">
                  <c:v>664593.26530612248</c:v>
                </c:pt>
              </c:numCache>
            </c:numRef>
          </c:val>
          <c:smooth val="0"/>
        </c:ser>
        <c:ser>
          <c:idx val="2"/>
          <c:order val="1"/>
          <c:tx>
            <c:strRef>
              <c:f>'OUTPUT COMES HERE'!$A$39</c:f>
              <c:strCache>
                <c:ptCount val="1"/>
                <c:pt idx="0">
                  <c:v>Semi-Detached</c:v>
                </c:pt>
              </c:strCache>
            </c:strRef>
          </c:tx>
          <c:marker>
            <c:symbol val="none"/>
          </c:marker>
          <c:cat>
            <c:numRef>
              <c:f>'OUTPUT COMES HERE'!$B$37:$K$37</c:f>
              <c:numCache>
                <c:formatCode>General</c:formatCode>
                <c:ptCount val="10"/>
                <c:pt idx="0">
                  <c:v>2007</c:v>
                </c:pt>
                <c:pt idx="1">
                  <c:v>2008</c:v>
                </c:pt>
                <c:pt idx="2">
                  <c:v>2009</c:v>
                </c:pt>
                <c:pt idx="3">
                  <c:v>2010</c:v>
                </c:pt>
                <c:pt idx="4">
                  <c:v>2011</c:v>
                </c:pt>
                <c:pt idx="5">
                  <c:v>2012</c:v>
                </c:pt>
                <c:pt idx="6">
                  <c:v>2013</c:v>
                </c:pt>
                <c:pt idx="7">
                  <c:v>2014</c:v>
                </c:pt>
                <c:pt idx="8">
                  <c:v>2015</c:v>
                </c:pt>
                <c:pt idx="9">
                  <c:v>2016</c:v>
                </c:pt>
              </c:numCache>
            </c:numRef>
          </c:cat>
          <c:val>
            <c:numRef>
              <c:f>'OUTPUT COMES HERE'!$B$39:$K$39</c:f>
              <c:numCache>
                <c:formatCode>#,##0</c:formatCode>
                <c:ptCount val="10"/>
                <c:pt idx="0">
                  <c:v>279040</c:v>
                </c:pt>
                <c:pt idx="1">
                  <c:v>251827.77777777778</c:v>
                </c:pt>
                <c:pt idx="2">
                  <c:v>239105.55555555556</c:v>
                </c:pt>
                <c:pt idx="3">
                  <c:v>279781.66666666669</c:v>
                </c:pt>
                <c:pt idx="4">
                  <c:v>268823.91304347827</c:v>
                </c:pt>
                <c:pt idx="5">
                  <c:v>271057.14285714284</c:v>
                </c:pt>
                <c:pt idx="6">
                  <c:v>443133.33333333331</c:v>
                </c:pt>
                <c:pt idx="7">
                  <c:v>338567.85714285716</c:v>
                </c:pt>
                <c:pt idx="8">
                  <c:v>271669</c:v>
                </c:pt>
                <c:pt idx="9">
                  <c:v>319340.625</c:v>
                </c:pt>
              </c:numCache>
            </c:numRef>
          </c:val>
          <c:smooth val="0"/>
        </c:ser>
        <c:ser>
          <c:idx val="3"/>
          <c:order val="2"/>
          <c:tx>
            <c:strRef>
              <c:f>'OUTPUT COMES HERE'!$A$40</c:f>
              <c:strCache>
                <c:ptCount val="1"/>
                <c:pt idx="0">
                  <c:v>Terraced</c:v>
                </c:pt>
              </c:strCache>
            </c:strRef>
          </c:tx>
          <c:marker>
            <c:symbol val="none"/>
          </c:marker>
          <c:cat>
            <c:numRef>
              <c:f>'OUTPUT COMES HERE'!$B$37:$K$37</c:f>
              <c:numCache>
                <c:formatCode>General</c:formatCode>
                <c:ptCount val="10"/>
                <c:pt idx="0">
                  <c:v>2007</c:v>
                </c:pt>
                <c:pt idx="1">
                  <c:v>2008</c:v>
                </c:pt>
                <c:pt idx="2">
                  <c:v>2009</c:v>
                </c:pt>
                <c:pt idx="3">
                  <c:v>2010</c:v>
                </c:pt>
                <c:pt idx="4">
                  <c:v>2011</c:v>
                </c:pt>
                <c:pt idx="5">
                  <c:v>2012</c:v>
                </c:pt>
                <c:pt idx="6">
                  <c:v>2013</c:v>
                </c:pt>
                <c:pt idx="7">
                  <c:v>2014</c:v>
                </c:pt>
                <c:pt idx="8">
                  <c:v>2015</c:v>
                </c:pt>
                <c:pt idx="9">
                  <c:v>2016</c:v>
                </c:pt>
              </c:numCache>
            </c:numRef>
          </c:cat>
          <c:val>
            <c:numRef>
              <c:f>'OUTPUT COMES HERE'!$B$40:$K$40</c:f>
              <c:numCache>
                <c:formatCode>#,##0</c:formatCode>
                <c:ptCount val="10"/>
                <c:pt idx="0">
                  <c:v>203000</c:v>
                </c:pt>
                <c:pt idx="1">
                  <c:v>229500</c:v>
                </c:pt>
                <c:pt idx="2">
                  <c:v>195166.66666666666</c:v>
                </c:pt>
                <c:pt idx="3">
                  <c:v>335250</c:v>
                </c:pt>
                <c:pt idx="4">
                  <c:v>411250</c:v>
                </c:pt>
                <c:pt idx="5">
                  <c:v>247550</c:v>
                </c:pt>
                <c:pt idx="6">
                  <c:v>341250</c:v>
                </c:pt>
                <c:pt idx="7">
                  <c:v>244916.33333333334</c:v>
                </c:pt>
                <c:pt idx="8">
                  <c:v>242333.33333333334</c:v>
                </c:pt>
                <c:pt idx="9">
                  <c:v>314650</c:v>
                </c:pt>
              </c:numCache>
            </c:numRef>
          </c:val>
          <c:smooth val="0"/>
        </c:ser>
        <c:ser>
          <c:idx val="4"/>
          <c:order val="3"/>
          <c:tx>
            <c:strRef>
              <c:f>'OUTPUT COMES HERE'!$A$41</c:f>
              <c:strCache>
                <c:ptCount val="1"/>
                <c:pt idx="0">
                  <c:v>Flats</c:v>
                </c:pt>
              </c:strCache>
            </c:strRef>
          </c:tx>
          <c:marker>
            <c:symbol val="none"/>
          </c:marker>
          <c:cat>
            <c:numRef>
              <c:f>'OUTPUT COMES HERE'!$B$37:$K$37</c:f>
              <c:numCache>
                <c:formatCode>General</c:formatCode>
                <c:ptCount val="10"/>
                <c:pt idx="0">
                  <c:v>2007</c:v>
                </c:pt>
                <c:pt idx="1">
                  <c:v>2008</c:v>
                </c:pt>
                <c:pt idx="2">
                  <c:v>2009</c:v>
                </c:pt>
                <c:pt idx="3">
                  <c:v>2010</c:v>
                </c:pt>
                <c:pt idx="4">
                  <c:v>2011</c:v>
                </c:pt>
                <c:pt idx="5">
                  <c:v>2012</c:v>
                </c:pt>
                <c:pt idx="6">
                  <c:v>2013</c:v>
                </c:pt>
                <c:pt idx="7">
                  <c:v>2014</c:v>
                </c:pt>
                <c:pt idx="8">
                  <c:v>2015</c:v>
                </c:pt>
                <c:pt idx="9">
                  <c:v>2016</c:v>
                </c:pt>
              </c:numCache>
            </c:numRef>
          </c:cat>
          <c:val>
            <c:numRef>
              <c:f>'OUTPUT COMES HERE'!$B$41:$K$41</c:f>
              <c:numCache>
                <c:formatCode>#,##0</c:formatCode>
                <c:ptCount val="10"/>
                <c:pt idx="0">
                  <c:v>198589.85714285713</c:v>
                </c:pt>
                <c:pt idx="1">
                  <c:v>186750</c:v>
                </c:pt>
                <c:pt idx="2">
                  <c:v>185100</c:v>
                </c:pt>
                <c:pt idx="3">
                  <c:v>212666.66666666666</c:v>
                </c:pt>
                <c:pt idx="4">
                  <c:v>162440</c:v>
                </c:pt>
                <c:pt idx="5">
                  <c:v>231500</c:v>
                </c:pt>
                <c:pt idx="6">
                  <c:v>203666.66666666666</c:v>
                </c:pt>
                <c:pt idx="7">
                  <c:v>213885.71428571429</c:v>
                </c:pt>
                <c:pt idx="8">
                  <c:v>212625</c:v>
                </c:pt>
                <c:pt idx="9">
                  <c:v>284992.85714285716</c:v>
                </c:pt>
              </c:numCache>
            </c:numRef>
          </c:val>
          <c:smooth val="0"/>
        </c:ser>
        <c:ser>
          <c:idx val="0"/>
          <c:order val="4"/>
          <c:tx>
            <c:strRef>
              <c:f>'OUTPUT COMES HERE'!$A$42</c:f>
              <c:strCache>
                <c:ptCount val="1"/>
                <c:pt idx="0">
                  <c:v>All Types</c:v>
                </c:pt>
              </c:strCache>
            </c:strRef>
          </c:tx>
          <c:marker>
            <c:symbol val="none"/>
          </c:marker>
          <c:cat>
            <c:numRef>
              <c:f>'OUTPUT COMES HERE'!$B$37:$K$37</c:f>
              <c:numCache>
                <c:formatCode>General</c:formatCode>
                <c:ptCount val="10"/>
                <c:pt idx="0">
                  <c:v>2007</c:v>
                </c:pt>
                <c:pt idx="1">
                  <c:v>2008</c:v>
                </c:pt>
                <c:pt idx="2">
                  <c:v>2009</c:v>
                </c:pt>
                <c:pt idx="3">
                  <c:v>2010</c:v>
                </c:pt>
                <c:pt idx="4">
                  <c:v>2011</c:v>
                </c:pt>
                <c:pt idx="5">
                  <c:v>2012</c:v>
                </c:pt>
                <c:pt idx="6">
                  <c:v>2013</c:v>
                </c:pt>
                <c:pt idx="7">
                  <c:v>2014</c:v>
                </c:pt>
                <c:pt idx="8">
                  <c:v>2015</c:v>
                </c:pt>
                <c:pt idx="9">
                  <c:v>2016</c:v>
                </c:pt>
              </c:numCache>
            </c:numRef>
          </c:cat>
          <c:val>
            <c:numRef>
              <c:f>'OUTPUT COMES HERE'!$B$42:$K$42</c:f>
              <c:numCache>
                <c:formatCode>#,##0</c:formatCode>
                <c:ptCount val="10"/>
                <c:pt idx="0">
                  <c:v>457184.92708333331</c:v>
                </c:pt>
                <c:pt idx="1">
                  <c:v>411468.36734693876</c:v>
                </c:pt>
                <c:pt idx="2">
                  <c:v>410770.84745762713</c:v>
                </c:pt>
                <c:pt idx="3">
                  <c:v>427804.24528301886</c:v>
                </c:pt>
                <c:pt idx="4">
                  <c:v>395738.46666666667</c:v>
                </c:pt>
                <c:pt idx="5">
                  <c:v>406668.62711864407</c:v>
                </c:pt>
                <c:pt idx="6">
                  <c:v>520682.45569620252</c:v>
                </c:pt>
                <c:pt idx="7">
                  <c:v>487873.52</c:v>
                </c:pt>
                <c:pt idx="8">
                  <c:v>480680.23529411765</c:v>
                </c:pt>
                <c:pt idx="9">
                  <c:v>541512.26666666672</c:v>
                </c:pt>
              </c:numCache>
            </c:numRef>
          </c:val>
          <c:smooth val="0"/>
        </c:ser>
        <c:dLbls>
          <c:showLegendKey val="0"/>
          <c:showVal val="0"/>
          <c:showCatName val="0"/>
          <c:showSerName val="0"/>
          <c:showPercent val="0"/>
          <c:showBubbleSize val="0"/>
        </c:dLbls>
        <c:marker val="1"/>
        <c:smooth val="0"/>
        <c:axId val="190903040"/>
        <c:axId val="190904576"/>
      </c:lineChart>
      <c:catAx>
        <c:axId val="190903040"/>
        <c:scaling>
          <c:orientation val="minMax"/>
        </c:scaling>
        <c:delete val="0"/>
        <c:axPos val="b"/>
        <c:numFmt formatCode="General" sourceLinked="1"/>
        <c:majorTickMark val="out"/>
        <c:minorTickMark val="none"/>
        <c:tickLblPos val="nextTo"/>
        <c:crossAx val="190904576"/>
        <c:crosses val="autoZero"/>
        <c:auto val="1"/>
        <c:lblAlgn val="ctr"/>
        <c:lblOffset val="100"/>
        <c:noMultiLvlLbl val="0"/>
      </c:catAx>
      <c:valAx>
        <c:axId val="190904576"/>
        <c:scaling>
          <c:orientation val="minMax"/>
        </c:scaling>
        <c:delete val="0"/>
        <c:axPos val="l"/>
        <c:majorGridlines/>
        <c:numFmt formatCode="#,##0" sourceLinked="1"/>
        <c:majorTickMark val="out"/>
        <c:minorTickMark val="none"/>
        <c:tickLblPos val="nextTo"/>
        <c:crossAx val="190903040"/>
        <c:crosses val="autoZero"/>
        <c:crossBetween val="between"/>
      </c:valAx>
    </c:plotArea>
    <c:legend>
      <c:legendPos val="r"/>
      <c:overlay val="0"/>
    </c:legend>
    <c:plotVisOnly val="1"/>
    <c:dispBlanksAs val="gap"/>
    <c:showDLblsOverMax val="0"/>
  </c:chart>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stacked"/>
        <c:varyColors val="0"/>
        <c:ser>
          <c:idx val="0"/>
          <c:order val="0"/>
          <c:tx>
            <c:strRef>
              <c:f>'OUTPUT COMES HERE'!$A$4</c:f>
              <c:strCache>
                <c:ptCount val="1"/>
                <c:pt idx="0">
                  <c:v>Detached</c:v>
                </c:pt>
              </c:strCache>
            </c:strRef>
          </c:tx>
          <c:invertIfNegative val="0"/>
          <c:cat>
            <c:numRef>
              <c:f>'OUTPUT COMES HERE'!$B$3:$K$3</c:f>
              <c:numCache>
                <c:formatCode>General</c:formatCode>
                <c:ptCount val="10"/>
                <c:pt idx="0">
                  <c:v>2007</c:v>
                </c:pt>
                <c:pt idx="1">
                  <c:v>2008</c:v>
                </c:pt>
                <c:pt idx="2">
                  <c:v>2009</c:v>
                </c:pt>
                <c:pt idx="3">
                  <c:v>2010</c:v>
                </c:pt>
                <c:pt idx="4">
                  <c:v>2011</c:v>
                </c:pt>
                <c:pt idx="5">
                  <c:v>2012</c:v>
                </c:pt>
                <c:pt idx="6">
                  <c:v>2013</c:v>
                </c:pt>
                <c:pt idx="7">
                  <c:v>2014</c:v>
                </c:pt>
                <c:pt idx="8">
                  <c:v>2015</c:v>
                </c:pt>
                <c:pt idx="9">
                  <c:v>2016</c:v>
                </c:pt>
              </c:numCache>
            </c:numRef>
          </c:cat>
          <c:val>
            <c:numRef>
              <c:f>'OUTPUT COMES HERE'!$B$4:$K$4</c:f>
              <c:numCache>
                <c:formatCode>General</c:formatCode>
                <c:ptCount val="10"/>
                <c:pt idx="0">
                  <c:v>58</c:v>
                </c:pt>
                <c:pt idx="1">
                  <c:v>31</c:v>
                </c:pt>
                <c:pt idx="2">
                  <c:v>42</c:v>
                </c:pt>
                <c:pt idx="3">
                  <c:v>31</c:v>
                </c:pt>
                <c:pt idx="4">
                  <c:v>45</c:v>
                </c:pt>
                <c:pt idx="5">
                  <c:v>38</c:v>
                </c:pt>
                <c:pt idx="6">
                  <c:v>54</c:v>
                </c:pt>
                <c:pt idx="7">
                  <c:v>51</c:v>
                </c:pt>
                <c:pt idx="8">
                  <c:v>50</c:v>
                </c:pt>
                <c:pt idx="9">
                  <c:v>49</c:v>
                </c:pt>
              </c:numCache>
            </c:numRef>
          </c:val>
        </c:ser>
        <c:ser>
          <c:idx val="1"/>
          <c:order val="1"/>
          <c:tx>
            <c:strRef>
              <c:f>'OUTPUT COMES HERE'!$A$5</c:f>
              <c:strCache>
                <c:ptCount val="1"/>
                <c:pt idx="0">
                  <c:v>Semi-Detached</c:v>
                </c:pt>
              </c:strCache>
            </c:strRef>
          </c:tx>
          <c:invertIfNegative val="0"/>
          <c:cat>
            <c:numRef>
              <c:f>'OUTPUT COMES HERE'!$B$3:$K$3</c:f>
              <c:numCache>
                <c:formatCode>General</c:formatCode>
                <c:ptCount val="10"/>
                <c:pt idx="0">
                  <c:v>2007</c:v>
                </c:pt>
                <c:pt idx="1">
                  <c:v>2008</c:v>
                </c:pt>
                <c:pt idx="2">
                  <c:v>2009</c:v>
                </c:pt>
                <c:pt idx="3">
                  <c:v>2010</c:v>
                </c:pt>
                <c:pt idx="4">
                  <c:v>2011</c:v>
                </c:pt>
                <c:pt idx="5">
                  <c:v>2012</c:v>
                </c:pt>
                <c:pt idx="6">
                  <c:v>2013</c:v>
                </c:pt>
                <c:pt idx="7">
                  <c:v>2014</c:v>
                </c:pt>
                <c:pt idx="8">
                  <c:v>2015</c:v>
                </c:pt>
                <c:pt idx="9">
                  <c:v>2016</c:v>
                </c:pt>
              </c:numCache>
            </c:numRef>
          </c:cat>
          <c:val>
            <c:numRef>
              <c:f>'OUTPUT COMES HERE'!$B$5:$K$5</c:f>
              <c:numCache>
                <c:formatCode>General</c:formatCode>
                <c:ptCount val="10"/>
                <c:pt idx="0">
                  <c:v>25</c:v>
                </c:pt>
                <c:pt idx="1">
                  <c:v>9</c:v>
                </c:pt>
                <c:pt idx="2">
                  <c:v>9</c:v>
                </c:pt>
                <c:pt idx="3">
                  <c:v>15</c:v>
                </c:pt>
                <c:pt idx="4">
                  <c:v>23</c:v>
                </c:pt>
                <c:pt idx="5">
                  <c:v>14</c:v>
                </c:pt>
                <c:pt idx="6">
                  <c:v>18</c:v>
                </c:pt>
                <c:pt idx="7">
                  <c:v>14</c:v>
                </c:pt>
                <c:pt idx="8">
                  <c:v>20</c:v>
                </c:pt>
                <c:pt idx="9">
                  <c:v>16</c:v>
                </c:pt>
              </c:numCache>
            </c:numRef>
          </c:val>
        </c:ser>
        <c:ser>
          <c:idx val="2"/>
          <c:order val="2"/>
          <c:tx>
            <c:strRef>
              <c:f>'OUTPUT COMES HERE'!$A$6</c:f>
              <c:strCache>
                <c:ptCount val="1"/>
                <c:pt idx="0">
                  <c:v>Terraced</c:v>
                </c:pt>
              </c:strCache>
            </c:strRef>
          </c:tx>
          <c:invertIfNegative val="0"/>
          <c:cat>
            <c:numRef>
              <c:f>'OUTPUT COMES HERE'!$B$3:$K$3</c:f>
              <c:numCache>
                <c:formatCode>General</c:formatCode>
                <c:ptCount val="10"/>
                <c:pt idx="0">
                  <c:v>2007</c:v>
                </c:pt>
                <c:pt idx="1">
                  <c:v>2008</c:v>
                </c:pt>
                <c:pt idx="2">
                  <c:v>2009</c:v>
                </c:pt>
                <c:pt idx="3">
                  <c:v>2010</c:v>
                </c:pt>
                <c:pt idx="4">
                  <c:v>2011</c:v>
                </c:pt>
                <c:pt idx="5">
                  <c:v>2012</c:v>
                </c:pt>
                <c:pt idx="6">
                  <c:v>2013</c:v>
                </c:pt>
                <c:pt idx="7">
                  <c:v>2014</c:v>
                </c:pt>
                <c:pt idx="8">
                  <c:v>2015</c:v>
                </c:pt>
                <c:pt idx="9">
                  <c:v>2016</c:v>
                </c:pt>
              </c:numCache>
            </c:numRef>
          </c:cat>
          <c:val>
            <c:numRef>
              <c:f>'OUTPUT COMES HERE'!$B$6:$K$6</c:f>
              <c:numCache>
                <c:formatCode>General</c:formatCode>
                <c:ptCount val="10"/>
                <c:pt idx="0">
                  <c:v>6</c:v>
                </c:pt>
                <c:pt idx="1">
                  <c:v>2</c:v>
                </c:pt>
                <c:pt idx="2">
                  <c:v>3</c:v>
                </c:pt>
                <c:pt idx="3">
                  <c:v>4</c:v>
                </c:pt>
                <c:pt idx="4">
                  <c:v>2</c:v>
                </c:pt>
                <c:pt idx="5">
                  <c:v>4</c:v>
                </c:pt>
                <c:pt idx="6">
                  <c:v>4</c:v>
                </c:pt>
                <c:pt idx="7">
                  <c:v>3</c:v>
                </c:pt>
                <c:pt idx="8">
                  <c:v>3</c:v>
                </c:pt>
                <c:pt idx="9">
                  <c:v>3</c:v>
                </c:pt>
              </c:numCache>
            </c:numRef>
          </c:val>
        </c:ser>
        <c:ser>
          <c:idx val="3"/>
          <c:order val="3"/>
          <c:tx>
            <c:strRef>
              <c:f>'OUTPUT COMES HERE'!$A$7</c:f>
              <c:strCache>
                <c:ptCount val="1"/>
                <c:pt idx="0">
                  <c:v>Flats</c:v>
                </c:pt>
              </c:strCache>
            </c:strRef>
          </c:tx>
          <c:invertIfNegative val="0"/>
          <c:cat>
            <c:numRef>
              <c:f>'OUTPUT COMES HERE'!$B$3:$K$3</c:f>
              <c:numCache>
                <c:formatCode>General</c:formatCode>
                <c:ptCount val="10"/>
                <c:pt idx="0">
                  <c:v>2007</c:v>
                </c:pt>
                <c:pt idx="1">
                  <c:v>2008</c:v>
                </c:pt>
                <c:pt idx="2">
                  <c:v>2009</c:v>
                </c:pt>
                <c:pt idx="3">
                  <c:v>2010</c:v>
                </c:pt>
                <c:pt idx="4">
                  <c:v>2011</c:v>
                </c:pt>
                <c:pt idx="5">
                  <c:v>2012</c:v>
                </c:pt>
                <c:pt idx="6">
                  <c:v>2013</c:v>
                </c:pt>
                <c:pt idx="7">
                  <c:v>2014</c:v>
                </c:pt>
                <c:pt idx="8">
                  <c:v>2015</c:v>
                </c:pt>
                <c:pt idx="9">
                  <c:v>2016</c:v>
                </c:pt>
              </c:numCache>
            </c:numRef>
          </c:cat>
          <c:val>
            <c:numRef>
              <c:f>'OUTPUT COMES HERE'!$B$7:$K$7</c:f>
              <c:numCache>
                <c:formatCode>General</c:formatCode>
                <c:ptCount val="10"/>
                <c:pt idx="0">
                  <c:v>7</c:v>
                </c:pt>
                <c:pt idx="1">
                  <c:v>7</c:v>
                </c:pt>
                <c:pt idx="2">
                  <c:v>5</c:v>
                </c:pt>
                <c:pt idx="3">
                  <c:v>3</c:v>
                </c:pt>
                <c:pt idx="4">
                  <c:v>5</c:v>
                </c:pt>
                <c:pt idx="5">
                  <c:v>3</c:v>
                </c:pt>
                <c:pt idx="6">
                  <c:v>3</c:v>
                </c:pt>
                <c:pt idx="7">
                  <c:v>7</c:v>
                </c:pt>
                <c:pt idx="8">
                  <c:v>12</c:v>
                </c:pt>
                <c:pt idx="9">
                  <c:v>7</c:v>
                </c:pt>
              </c:numCache>
            </c:numRef>
          </c:val>
        </c:ser>
        <c:dLbls>
          <c:showLegendKey val="0"/>
          <c:showVal val="0"/>
          <c:showCatName val="0"/>
          <c:showSerName val="0"/>
          <c:showPercent val="0"/>
          <c:showBubbleSize val="0"/>
        </c:dLbls>
        <c:gapWidth val="150"/>
        <c:overlap val="100"/>
        <c:axId val="191001344"/>
        <c:axId val="191002880"/>
      </c:barChart>
      <c:catAx>
        <c:axId val="191001344"/>
        <c:scaling>
          <c:orientation val="minMax"/>
        </c:scaling>
        <c:delete val="0"/>
        <c:axPos val="b"/>
        <c:numFmt formatCode="General" sourceLinked="1"/>
        <c:majorTickMark val="out"/>
        <c:minorTickMark val="none"/>
        <c:tickLblPos val="nextTo"/>
        <c:crossAx val="191002880"/>
        <c:crosses val="autoZero"/>
        <c:auto val="1"/>
        <c:lblAlgn val="ctr"/>
        <c:lblOffset val="100"/>
        <c:noMultiLvlLbl val="0"/>
      </c:catAx>
      <c:valAx>
        <c:axId val="191002880"/>
        <c:scaling>
          <c:orientation val="minMax"/>
        </c:scaling>
        <c:delete val="0"/>
        <c:axPos val="l"/>
        <c:majorGridlines/>
        <c:numFmt formatCode="General" sourceLinked="1"/>
        <c:majorTickMark val="out"/>
        <c:minorTickMark val="none"/>
        <c:tickLblPos val="nextTo"/>
        <c:crossAx val="191001344"/>
        <c:crosses val="autoZero"/>
        <c:crossBetween val="between"/>
      </c:valAx>
    </c:plotArea>
    <c:legend>
      <c:legendPos val="r"/>
      <c:overlay val="0"/>
    </c:legend>
    <c:plotVisOnly val="1"/>
    <c:dispBlanksAs val="gap"/>
    <c:showDLblsOverMax val="0"/>
  </c:chart>
  <c:externalData r:id="rId2">
    <c:autoUpdate val="0"/>
  </c:externalData>
</c:chartSpace>
</file>

<file path=word/theme/theme1.xml><?xml version="1.0" encoding="utf-8"?>
<a:theme xmlns:a="http://schemas.openxmlformats.org/drawingml/2006/main" name="Office Theme">
  <a:themeElements>
    <a:clrScheme name="AECOM">
      <a:dk1>
        <a:sysClr val="windowText" lastClr="000000"/>
      </a:dk1>
      <a:lt1>
        <a:sysClr val="window" lastClr="FFFFFF"/>
      </a:lt1>
      <a:dk2>
        <a:srgbClr val="000000"/>
      </a:dk2>
      <a:lt2>
        <a:srgbClr val="FFFFFF"/>
      </a:lt2>
      <a:accent1>
        <a:srgbClr val="00B5E2"/>
      </a:accent1>
      <a:accent2>
        <a:srgbClr val="84BD00"/>
      </a:accent2>
      <a:accent3>
        <a:srgbClr val="F68B1F"/>
      </a:accent3>
      <a:accent4>
        <a:srgbClr val="9E007E"/>
      </a:accent4>
      <a:accent5>
        <a:srgbClr val="FFE512"/>
      </a:accent5>
      <a:accent6>
        <a:srgbClr val="8C8279"/>
      </a:accent6>
      <a:hlink>
        <a:srgbClr val="63C1DF"/>
      </a:hlink>
      <a:folHlink>
        <a:srgbClr val="9C0880"/>
      </a:folHlink>
    </a:clrScheme>
    <a:fontScheme name="AECOM 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AECOM">
    <a:dk1>
      <a:sysClr val="windowText" lastClr="000000"/>
    </a:dk1>
    <a:lt1>
      <a:sysClr val="window" lastClr="FFFFFF"/>
    </a:lt1>
    <a:dk2>
      <a:srgbClr val="000000"/>
    </a:dk2>
    <a:lt2>
      <a:srgbClr val="FFFFFF"/>
    </a:lt2>
    <a:accent1>
      <a:srgbClr val="00B5E2"/>
    </a:accent1>
    <a:accent2>
      <a:srgbClr val="84BD00"/>
    </a:accent2>
    <a:accent3>
      <a:srgbClr val="F68B1F"/>
    </a:accent3>
    <a:accent4>
      <a:srgbClr val="9E007E"/>
    </a:accent4>
    <a:accent5>
      <a:srgbClr val="FFE512"/>
    </a:accent5>
    <a:accent6>
      <a:srgbClr val="8C8279"/>
    </a:accent6>
    <a:hlink>
      <a:srgbClr val="63C1DF"/>
    </a:hlink>
    <a:folHlink>
      <a:srgbClr val="9C0880"/>
    </a:folHlink>
  </a:clrScheme>
  <a:fontScheme name="AECOM 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AECOM">
    <a:dk1>
      <a:sysClr val="windowText" lastClr="000000"/>
    </a:dk1>
    <a:lt1>
      <a:sysClr val="window" lastClr="FFFFFF"/>
    </a:lt1>
    <a:dk2>
      <a:srgbClr val="000000"/>
    </a:dk2>
    <a:lt2>
      <a:srgbClr val="FFFFFF"/>
    </a:lt2>
    <a:accent1>
      <a:srgbClr val="00B5E2"/>
    </a:accent1>
    <a:accent2>
      <a:srgbClr val="84BD00"/>
    </a:accent2>
    <a:accent3>
      <a:srgbClr val="F68B1F"/>
    </a:accent3>
    <a:accent4>
      <a:srgbClr val="9E007E"/>
    </a:accent4>
    <a:accent5>
      <a:srgbClr val="FFE512"/>
    </a:accent5>
    <a:accent6>
      <a:srgbClr val="8C8279"/>
    </a:accent6>
    <a:hlink>
      <a:srgbClr val="63C1DF"/>
    </a:hlink>
    <a:folHlink>
      <a:srgbClr val="9C0880"/>
    </a:folHlink>
  </a:clrScheme>
  <a:fontScheme name="AECOM 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6B24F8-C347-412B-888B-E9CB3A156F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AECOM_Report.dotm</Template>
  <TotalTime>1</TotalTime>
  <Pages>58</Pages>
  <Words>21296</Words>
  <Characters>121388</Characters>
  <Application>Microsoft Office Word</Application>
  <DocSecurity>4</DocSecurity>
  <Lines>1011</Lines>
  <Paragraphs>284</Paragraphs>
  <ScaleCrop>false</ScaleCrop>
  <HeadingPairs>
    <vt:vector size="2" baseType="variant">
      <vt:variant>
        <vt:lpstr>Title</vt:lpstr>
      </vt:variant>
      <vt:variant>
        <vt:i4>1</vt:i4>
      </vt:variant>
    </vt:vector>
  </HeadingPairs>
  <TitlesOfParts>
    <vt:vector size="1" baseType="lpstr">
      <vt:lpstr>Report HNA Template  2017-06-29</vt:lpstr>
    </vt:vector>
  </TitlesOfParts>
  <Company>AECOM Limited</Company>
  <LinksUpToDate>false</LinksUpToDate>
  <CharactersWithSpaces>142400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HNA Template  2017-06-29</dc:title>
  <dc:creator>Corbin, Thomas</dc:creator>
  <cp:keywords>Project ref:   Project number:</cp:keywords>
  <cp:lastModifiedBy>Ivan Tennant</cp:lastModifiedBy>
  <cp:revision>2</cp:revision>
  <cp:lastPrinted>2018-01-04T08:50:00Z</cp:lastPrinted>
  <dcterms:created xsi:type="dcterms:W3CDTF">2018-01-24T12:26:00Z</dcterms:created>
  <dcterms:modified xsi:type="dcterms:W3CDTF">2018-01-24T12:26:00Z</dcterms:modified>
  <cp:category>Report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
    <vt:lpwstr>AECOM_Report</vt:lpwstr>
  </property>
  <property fmtid="{D5CDD505-2E9C-101B-9397-08002B2CF9AE}" pid="3" name="TemplateVersion">
    <vt:lpwstr>1.7</vt:lpwstr>
  </property>
  <property fmtid="{D5CDD505-2E9C-101B-9397-08002B2CF9AE}" pid="4" name="HeaderTitle">
    <vt:lpwstr>HNA Template </vt:lpwstr>
  </property>
  <property fmtid="{D5CDD505-2E9C-101B-9397-08002B2CF9AE}" pid="5" name="ProtectiveMarking">
    <vt:lpwstr/>
  </property>
  <property fmtid="{D5CDD505-2E9C-101B-9397-08002B2CF9AE}" pid="6" name="HeaderClient">
    <vt:lpwstr> </vt:lpwstr>
  </property>
  <property fmtid="{D5CDD505-2E9C-101B-9397-08002B2CF9AE}" pid="7" name="AdditionalCompanyName">
    <vt:lpwstr/>
  </property>
  <property fmtid="{D5CDD505-2E9C-101B-9397-08002B2CF9AE}" pid="8" name="ClientName">
    <vt:lpwstr/>
  </property>
  <property fmtid="{D5CDD505-2E9C-101B-9397-08002B2CF9AE}" pid="9" name="TenderStage">
    <vt:lpwstr/>
  </property>
  <property fmtid="{D5CDD505-2E9C-101B-9397-08002B2CF9AE}" pid="10" name="ProjectRef">
    <vt:lpwstr> </vt:lpwstr>
  </property>
  <property fmtid="{D5CDD505-2E9C-101B-9397-08002B2CF9AE}" pid="11" name="ProjectNumber">
    <vt:lpwstr> </vt:lpwstr>
  </property>
  <property fmtid="{D5CDD505-2E9C-101B-9397-08002B2CF9AE}" pid="12" name="CopyNo">
    <vt:lpwstr>&lt;CopyNo&gt;</vt:lpwstr>
  </property>
  <property fmtid="{D5CDD505-2E9C-101B-9397-08002B2CF9AE}" pid="13" name="CopyNoTotal">
    <vt:lpwstr>&lt;CopyNoTotal&gt;</vt:lpwstr>
  </property>
  <property fmtid="{D5CDD505-2E9C-101B-9397-08002B2CF9AE}" pid="14" name="SupplementaryTitle">
    <vt:lpwstr/>
  </property>
  <property fmtid="{D5CDD505-2E9C-101B-9397-08002B2CF9AE}" pid="15" name="Subtitle">
    <vt:lpwstr/>
  </property>
  <property fmtid="{D5CDD505-2E9C-101B-9397-08002B2CF9AE}" pid="16" name="DocumentReference">
    <vt:lpwstr/>
  </property>
  <property fmtid="{D5CDD505-2E9C-101B-9397-08002B2CF9AE}" pid="17" name="Date">
    <vt:lpwstr>June 2017</vt:lpwstr>
  </property>
  <property fmtid="{D5CDD505-2E9C-101B-9397-08002B2CF9AE}" pid="18" name="Copies">
    <vt:lpwstr/>
  </property>
  <property fmtid="{D5CDD505-2E9C-101B-9397-08002B2CF9AE}" pid="19" name="ProjectRefSlash">
    <vt:lpwstr> / </vt:lpwstr>
  </property>
  <property fmtid="{D5CDD505-2E9C-101B-9397-08002B2CF9AE}" pid="20" name="DocumentTitle">
    <vt:lpwstr>HNA Template </vt:lpwstr>
  </property>
  <property fmtid="{D5CDD505-2E9C-101B-9397-08002B2CF9AE}" pid="21" name="FooterClientAddress">
    <vt:lpwstr/>
  </property>
  <property fmtid="{D5CDD505-2E9C-101B-9397-08002B2CF9AE}" pid="22" name="ClientNumber">
    <vt:lpwstr> </vt:lpwstr>
  </property>
  <property fmtid="{D5CDD505-2E9C-101B-9397-08002B2CF9AE}" pid="23" name="Draft">
    <vt:lpwstr>DRAFT</vt:lpwstr>
  </property>
  <property fmtid="{D5CDD505-2E9C-101B-9397-08002B2CF9AE}" pid="24" name="AccreditationText">
    <vt:lpwstr/>
  </property>
  <property fmtid="{D5CDD505-2E9C-101B-9397-08002B2CF9AE}" pid="25" name="GreenInitiative">
    <vt:lpwstr/>
  </property>
  <property fmtid="{D5CDD505-2E9C-101B-9397-08002B2CF9AE}" pid="26" name="PreparedBy">
    <vt:lpwstr>&lt;PreparedBy&gt;</vt:lpwstr>
  </property>
  <property fmtid="{D5CDD505-2E9C-101B-9397-08002B2CF9AE}" pid="27" name="ShowFilePath">
    <vt:lpwstr>0</vt:lpwstr>
  </property>
  <property fmtid="{D5CDD505-2E9C-101B-9397-08002B2CF9AE}" pid="28" name="PreparedFor">
    <vt:lpwstr> </vt:lpwstr>
  </property>
  <property fmtid="{D5CDD505-2E9C-101B-9397-08002B2CF9AE}" pid="29" name="InAssociationWith">
    <vt:lpwstr> </vt:lpwstr>
  </property>
  <property fmtid="{D5CDD505-2E9C-101B-9397-08002B2CF9AE}" pid="30" name="ShowFileName">
    <vt:lpwstr>0</vt:lpwstr>
  </property>
</Properties>
</file>